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4FB3E" w14:textId="77777777" w:rsidR="003B5926" w:rsidRDefault="00A96CF8">
      <w:pPr>
        <w:spacing w:line="360" w:lineRule="auto"/>
        <w:rPr>
          <w:rFonts w:ascii="Times New Roman" w:eastAsia="Times New Roman" w:hAnsi="Times New Roman" w:cs="Times New Roman"/>
          <w:b/>
        </w:rPr>
      </w:pPr>
      <w:r>
        <w:rPr>
          <w:noProof/>
        </w:rPr>
        <w:drawing>
          <wp:anchor distT="0" distB="0" distL="114300" distR="114300" simplePos="0" relativeHeight="251658240" behindDoc="0" locked="0" layoutInCell="1" hidden="0" allowOverlap="1" wp14:anchorId="40D47835" wp14:editId="3214736E">
            <wp:simplePos x="0" y="0"/>
            <wp:positionH relativeFrom="column">
              <wp:posOffset>-361949</wp:posOffset>
            </wp:positionH>
            <wp:positionV relativeFrom="paragraph">
              <wp:posOffset>0</wp:posOffset>
            </wp:positionV>
            <wp:extent cx="1257300" cy="1231863"/>
            <wp:effectExtent l="0" t="0" r="0" b="0"/>
            <wp:wrapSquare wrapText="bothSides" distT="0" distB="0" distL="114300" distR="114300"/>
            <wp:docPr id="1118851079" name="image2.jpg" descr="C:\Users\vija\AppData\Local\Microsoft\Windows\Temporary Internet Files\Content.IE5\RY8CYG82\FullSizeRender(1).jpg"/>
            <wp:cNvGraphicFramePr/>
            <a:graphic xmlns:a="http://schemas.openxmlformats.org/drawingml/2006/main">
              <a:graphicData uri="http://schemas.openxmlformats.org/drawingml/2006/picture">
                <pic:pic xmlns:pic="http://schemas.openxmlformats.org/drawingml/2006/picture">
                  <pic:nvPicPr>
                    <pic:cNvPr id="0" name="image2.jpg" descr="C:\Users\vija\AppData\Local\Microsoft\Windows\Temporary Internet Files\Content.IE5\RY8CYG82\FullSizeRender(1).jpg"/>
                    <pic:cNvPicPr preferRelativeResize="0"/>
                  </pic:nvPicPr>
                  <pic:blipFill>
                    <a:blip r:embed="rId8"/>
                    <a:srcRect/>
                    <a:stretch>
                      <a:fillRect/>
                    </a:stretch>
                  </pic:blipFill>
                  <pic:spPr>
                    <a:xfrm>
                      <a:off x="0" y="0"/>
                      <a:ext cx="1257300" cy="123186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59D0532" wp14:editId="03DD3EE3">
            <wp:simplePos x="0" y="0"/>
            <wp:positionH relativeFrom="column">
              <wp:posOffset>895350</wp:posOffset>
            </wp:positionH>
            <wp:positionV relativeFrom="paragraph">
              <wp:posOffset>180975</wp:posOffset>
            </wp:positionV>
            <wp:extent cx="1878965" cy="685800"/>
            <wp:effectExtent l="0" t="0" r="0" b="0"/>
            <wp:wrapSquare wrapText="bothSides" distT="0" distB="0" distL="114300" distR="114300"/>
            <wp:docPr id="11188510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878965" cy="6858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9C23745" wp14:editId="0ACF43BC">
            <wp:simplePos x="0" y="0"/>
            <wp:positionH relativeFrom="column">
              <wp:posOffset>3028950</wp:posOffset>
            </wp:positionH>
            <wp:positionV relativeFrom="paragraph">
              <wp:posOffset>171450</wp:posOffset>
            </wp:positionV>
            <wp:extent cx="1257696" cy="876300"/>
            <wp:effectExtent l="0" t="0" r="0" b="0"/>
            <wp:wrapSquare wrapText="bothSides" distT="0" distB="0" distL="114300" distR="114300"/>
            <wp:docPr id="111885107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1257696" cy="8763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4C664BD4" wp14:editId="0B77D744">
            <wp:simplePos x="0" y="0"/>
            <wp:positionH relativeFrom="column">
              <wp:posOffset>4502785</wp:posOffset>
            </wp:positionH>
            <wp:positionV relativeFrom="paragraph">
              <wp:posOffset>0</wp:posOffset>
            </wp:positionV>
            <wp:extent cx="971550" cy="1295400"/>
            <wp:effectExtent l="0" t="0" r="0" b="0"/>
            <wp:wrapSquare wrapText="bothSides" distT="0" distB="0" distL="114300" distR="114300"/>
            <wp:docPr id="1118851076" name="image5.png" descr="Papardes zieds"/>
            <wp:cNvGraphicFramePr/>
            <a:graphic xmlns:a="http://schemas.openxmlformats.org/drawingml/2006/main">
              <a:graphicData uri="http://schemas.openxmlformats.org/drawingml/2006/picture">
                <pic:pic xmlns:pic="http://schemas.openxmlformats.org/drawingml/2006/picture">
                  <pic:nvPicPr>
                    <pic:cNvPr id="0" name="image5.png" descr="Papardes zieds"/>
                    <pic:cNvPicPr preferRelativeResize="0"/>
                  </pic:nvPicPr>
                  <pic:blipFill>
                    <a:blip r:embed="rId11"/>
                    <a:srcRect/>
                    <a:stretch>
                      <a:fillRect/>
                    </a:stretch>
                  </pic:blipFill>
                  <pic:spPr>
                    <a:xfrm>
                      <a:off x="0" y="0"/>
                      <a:ext cx="971550" cy="1295400"/>
                    </a:xfrm>
                    <a:prstGeom prst="rect">
                      <a:avLst/>
                    </a:prstGeom>
                    <a:ln/>
                  </pic:spPr>
                </pic:pic>
              </a:graphicData>
            </a:graphic>
          </wp:anchor>
        </w:drawing>
      </w:r>
    </w:p>
    <w:p w14:paraId="70F768CA" w14:textId="77777777" w:rsidR="003B5926" w:rsidRDefault="00A96CF8">
      <w:pPr>
        <w:spacing w:line="360" w:lineRule="auto"/>
        <w:rPr>
          <w:rFonts w:ascii="Times New Roman" w:eastAsia="Times New Roman" w:hAnsi="Times New Roman" w:cs="Times New Roman"/>
          <w:b/>
        </w:rPr>
      </w:pPr>
      <w:r>
        <w:rPr>
          <w:rFonts w:ascii="Times New Roman" w:eastAsia="Times New Roman" w:hAnsi="Times New Roman" w:cs="Times New Roman"/>
        </w:rPr>
        <w:t xml:space="preserve"> </w:t>
      </w:r>
    </w:p>
    <w:p w14:paraId="5E7C0378" w14:textId="77777777" w:rsidR="003B5926" w:rsidRDefault="003B5926">
      <w:pPr>
        <w:spacing w:line="360" w:lineRule="auto"/>
        <w:rPr>
          <w:rFonts w:ascii="Times New Roman" w:eastAsia="Times New Roman" w:hAnsi="Times New Roman" w:cs="Times New Roman"/>
          <w:b/>
        </w:rPr>
      </w:pPr>
    </w:p>
    <w:p w14:paraId="569DF69F" w14:textId="77777777" w:rsidR="003B5926" w:rsidRDefault="00A96CF8">
      <w:pPr>
        <w:spacing w:line="360" w:lineRule="auto"/>
        <w:jc w:val="right"/>
        <w:rPr>
          <w:rFonts w:ascii="Times New Roman" w:eastAsia="Times New Roman" w:hAnsi="Times New Roman" w:cs="Times New Roman"/>
          <w:b/>
        </w:rPr>
      </w:pPr>
      <w:r>
        <w:rPr>
          <w:noProof/>
        </w:rPr>
        <w:drawing>
          <wp:anchor distT="0" distB="0" distL="114300" distR="114300" simplePos="0" relativeHeight="251662336" behindDoc="0" locked="0" layoutInCell="1" hidden="0" allowOverlap="1" wp14:anchorId="0F89F79D" wp14:editId="3AED0672">
            <wp:simplePos x="0" y="0"/>
            <wp:positionH relativeFrom="column">
              <wp:posOffset>-476249</wp:posOffset>
            </wp:positionH>
            <wp:positionV relativeFrom="paragraph">
              <wp:posOffset>244438</wp:posOffset>
            </wp:positionV>
            <wp:extent cx="1490345" cy="590550"/>
            <wp:effectExtent l="0" t="0" r="0" b="0"/>
            <wp:wrapSquare wrapText="bothSides" distT="0" distB="0" distL="114300" distR="114300"/>
            <wp:docPr id="111885107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l="27168" t="38175" r="26954" b="37584"/>
                    <a:stretch>
                      <a:fillRect/>
                    </a:stretch>
                  </pic:blipFill>
                  <pic:spPr>
                    <a:xfrm>
                      <a:off x="0" y="0"/>
                      <a:ext cx="1490345" cy="59055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321D1709" wp14:editId="21098305">
            <wp:simplePos x="0" y="0"/>
            <wp:positionH relativeFrom="column">
              <wp:posOffset>1200150</wp:posOffset>
            </wp:positionH>
            <wp:positionV relativeFrom="paragraph">
              <wp:posOffset>201997</wp:posOffset>
            </wp:positionV>
            <wp:extent cx="1991360" cy="561975"/>
            <wp:effectExtent l="0" t="0" r="0" b="0"/>
            <wp:wrapSquare wrapText="bothSides" distT="0" distB="0" distL="114300" distR="114300"/>
            <wp:docPr id="111885107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1991360" cy="56197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04F42CFD" wp14:editId="266E950B">
            <wp:simplePos x="0" y="0"/>
            <wp:positionH relativeFrom="column">
              <wp:posOffset>3581400</wp:posOffset>
            </wp:positionH>
            <wp:positionV relativeFrom="paragraph">
              <wp:posOffset>200025</wp:posOffset>
            </wp:positionV>
            <wp:extent cx="1344168" cy="492580"/>
            <wp:effectExtent l="0" t="0" r="0" b="0"/>
            <wp:wrapNone/>
            <wp:docPr id="1118851077" name="image6.png" descr="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Blue text on a black background&#10;&#10;Description automatically generated"/>
                    <pic:cNvPicPr preferRelativeResize="0"/>
                  </pic:nvPicPr>
                  <pic:blipFill>
                    <a:blip r:embed="rId14"/>
                    <a:srcRect/>
                    <a:stretch>
                      <a:fillRect/>
                    </a:stretch>
                  </pic:blipFill>
                  <pic:spPr>
                    <a:xfrm>
                      <a:off x="0" y="0"/>
                      <a:ext cx="1344168" cy="492580"/>
                    </a:xfrm>
                    <a:prstGeom prst="rect">
                      <a:avLst/>
                    </a:prstGeom>
                    <a:ln/>
                  </pic:spPr>
                </pic:pic>
              </a:graphicData>
            </a:graphic>
          </wp:anchor>
        </w:drawing>
      </w:r>
    </w:p>
    <w:p w14:paraId="050B1E69" w14:textId="77777777" w:rsidR="003B5926" w:rsidRDefault="003B5926">
      <w:pPr>
        <w:spacing w:after="0" w:line="240" w:lineRule="auto"/>
        <w:jc w:val="right"/>
        <w:rPr>
          <w:rFonts w:ascii="Times New Roman" w:eastAsia="Times New Roman" w:hAnsi="Times New Roman" w:cs="Times New Roman"/>
          <w:b/>
          <w:color w:val="212121"/>
        </w:rPr>
      </w:pPr>
    </w:p>
    <w:p w14:paraId="169A6429" w14:textId="77777777" w:rsidR="003B5926" w:rsidRDefault="003B5926">
      <w:pPr>
        <w:spacing w:after="0" w:line="240" w:lineRule="auto"/>
        <w:jc w:val="right"/>
        <w:rPr>
          <w:rFonts w:ascii="Times New Roman" w:eastAsia="Times New Roman" w:hAnsi="Times New Roman" w:cs="Times New Roman"/>
          <w:b/>
          <w:color w:val="212121"/>
        </w:rPr>
      </w:pPr>
    </w:p>
    <w:p w14:paraId="3C012D58" w14:textId="77777777" w:rsidR="003B5926" w:rsidRDefault="003B5926">
      <w:pPr>
        <w:spacing w:after="0" w:line="240" w:lineRule="auto"/>
        <w:jc w:val="right"/>
        <w:rPr>
          <w:rFonts w:ascii="Times New Roman" w:eastAsia="Times New Roman" w:hAnsi="Times New Roman" w:cs="Times New Roman"/>
          <w:b/>
          <w:color w:val="212121"/>
        </w:rPr>
      </w:pPr>
    </w:p>
    <w:p w14:paraId="14356881" w14:textId="77777777" w:rsidR="003B5926" w:rsidRDefault="003B5926">
      <w:pPr>
        <w:spacing w:after="0" w:line="240" w:lineRule="auto"/>
        <w:jc w:val="right"/>
        <w:rPr>
          <w:rFonts w:ascii="Times New Roman" w:eastAsia="Times New Roman" w:hAnsi="Times New Roman" w:cs="Times New Roman"/>
          <w:b/>
          <w:color w:val="212121"/>
        </w:rPr>
      </w:pPr>
    </w:p>
    <w:p w14:paraId="5FF6E70A" w14:textId="77777777" w:rsidR="003B5926" w:rsidRDefault="003B5926">
      <w:pPr>
        <w:spacing w:after="0" w:line="240" w:lineRule="auto"/>
        <w:jc w:val="right"/>
        <w:rPr>
          <w:rFonts w:ascii="Times New Roman" w:eastAsia="Times New Roman" w:hAnsi="Times New Roman" w:cs="Times New Roman"/>
          <w:b/>
          <w:color w:val="212121"/>
        </w:rPr>
      </w:pPr>
    </w:p>
    <w:p w14:paraId="1E0A6418" w14:textId="371F9076" w:rsidR="003B5926" w:rsidRDefault="00A96CF8" w:rsidP="003630E3">
      <w:pPr>
        <w:spacing w:after="0" w:line="360" w:lineRule="auto"/>
        <w:jc w:val="right"/>
        <w:rPr>
          <w:rFonts w:ascii="Times New Roman" w:eastAsia="Times New Roman" w:hAnsi="Times New Roman" w:cs="Times New Roman"/>
          <w:b/>
          <w:color w:val="212121"/>
        </w:rPr>
      </w:pPr>
      <w:r>
        <w:rPr>
          <w:rFonts w:ascii="Times New Roman" w:eastAsia="Times New Roman" w:hAnsi="Times New Roman" w:cs="Times New Roman"/>
          <w:b/>
          <w:color w:val="212121"/>
        </w:rPr>
        <w:t>Veselības ministrija</w:t>
      </w:r>
      <w:r w:rsidR="00946EFE">
        <w:rPr>
          <w:rFonts w:ascii="Times New Roman" w:eastAsia="Times New Roman" w:hAnsi="Times New Roman" w:cs="Times New Roman"/>
          <w:b/>
          <w:color w:val="212121"/>
        </w:rPr>
        <w:t>i</w:t>
      </w:r>
    </w:p>
    <w:p w14:paraId="0FAEB10E" w14:textId="77777777" w:rsidR="003B5926" w:rsidRDefault="00A96CF8" w:rsidP="003630E3">
      <w:pPr>
        <w:spacing w:after="0" w:line="360" w:lineRule="auto"/>
        <w:jc w:val="right"/>
        <w:rPr>
          <w:rFonts w:ascii="Times New Roman" w:eastAsia="Times New Roman" w:hAnsi="Times New Roman" w:cs="Times New Roman"/>
          <w:b/>
          <w:color w:val="212121"/>
        </w:rPr>
      </w:pPr>
      <w:r>
        <w:rPr>
          <w:rFonts w:ascii="Times New Roman" w:eastAsia="Times New Roman" w:hAnsi="Times New Roman" w:cs="Times New Roman"/>
          <w:b/>
          <w:color w:val="212121"/>
        </w:rPr>
        <w:t>Nacionālajam veselības dienestam</w:t>
      </w:r>
    </w:p>
    <w:p w14:paraId="3BCB32BD" w14:textId="6D88702F" w:rsidR="003B5926" w:rsidRDefault="00A96CF8" w:rsidP="003630E3">
      <w:pPr>
        <w:spacing w:after="0" w:line="360" w:lineRule="auto"/>
        <w:jc w:val="right"/>
        <w:rPr>
          <w:rFonts w:ascii="Times New Roman" w:eastAsia="Times New Roman" w:hAnsi="Times New Roman" w:cs="Times New Roman"/>
          <w:b/>
          <w:color w:val="212121"/>
        </w:rPr>
      </w:pPr>
      <w:r>
        <w:rPr>
          <w:rFonts w:ascii="Times New Roman" w:eastAsia="Times New Roman" w:hAnsi="Times New Roman" w:cs="Times New Roman"/>
          <w:b/>
          <w:color w:val="212121"/>
        </w:rPr>
        <w:t>Saeimas Sociālo un darba lietu komisija</w:t>
      </w:r>
      <w:r w:rsidR="00946EFE">
        <w:rPr>
          <w:rFonts w:ascii="Times New Roman" w:eastAsia="Times New Roman" w:hAnsi="Times New Roman" w:cs="Times New Roman"/>
          <w:b/>
          <w:color w:val="212121"/>
        </w:rPr>
        <w:t>i</w:t>
      </w:r>
    </w:p>
    <w:p w14:paraId="7D664F87" w14:textId="77777777" w:rsidR="003B5926" w:rsidRDefault="003B5926">
      <w:pPr>
        <w:spacing w:after="0" w:line="240" w:lineRule="auto"/>
        <w:jc w:val="both"/>
        <w:rPr>
          <w:rFonts w:ascii="Times New Roman" w:eastAsia="Times New Roman" w:hAnsi="Times New Roman" w:cs="Times New Roman"/>
          <w:color w:val="212121"/>
        </w:rPr>
      </w:pPr>
    </w:p>
    <w:p w14:paraId="4EDF903E" w14:textId="32BB8473" w:rsidR="003630E3" w:rsidRDefault="003630E3">
      <w:pPr>
        <w:spacing w:after="0" w:line="240" w:lineRule="auto"/>
        <w:jc w:val="both"/>
        <w:rPr>
          <w:rFonts w:ascii="Times New Roman" w:eastAsia="Times New Roman" w:hAnsi="Times New Roman" w:cs="Times New Roman"/>
          <w:color w:val="212121"/>
        </w:rPr>
      </w:pPr>
      <w:r>
        <w:rPr>
          <w:rFonts w:ascii="Times New Roman" w:eastAsia="Times New Roman" w:hAnsi="Times New Roman" w:cs="Times New Roman"/>
          <w:color w:val="212121"/>
        </w:rPr>
        <w:t>Rīgā, 2024. gada 18. jūnijā Nr. 01.23.2/103</w:t>
      </w:r>
    </w:p>
    <w:p w14:paraId="5905EA33" w14:textId="77777777" w:rsidR="003B5926" w:rsidRDefault="003B5926">
      <w:pPr>
        <w:spacing w:after="0" w:line="240" w:lineRule="auto"/>
        <w:jc w:val="both"/>
        <w:rPr>
          <w:rFonts w:ascii="Times New Roman" w:eastAsia="Times New Roman" w:hAnsi="Times New Roman" w:cs="Times New Roman"/>
          <w:color w:val="212121"/>
        </w:rPr>
      </w:pPr>
    </w:p>
    <w:p w14:paraId="52F67F9E" w14:textId="77777777" w:rsidR="003B5926" w:rsidRDefault="00A96CF8">
      <w:pPr>
        <w:spacing w:after="0" w:line="240" w:lineRule="auto"/>
        <w:jc w:val="both"/>
        <w:rPr>
          <w:rFonts w:ascii="Times New Roman" w:eastAsia="Times New Roman" w:hAnsi="Times New Roman" w:cs="Times New Roman"/>
          <w:i/>
          <w:color w:val="212121"/>
        </w:rPr>
      </w:pPr>
      <w:r>
        <w:rPr>
          <w:rFonts w:ascii="Times New Roman" w:eastAsia="Times New Roman" w:hAnsi="Times New Roman" w:cs="Times New Roman"/>
          <w:i/>
          <w:color w:val="212121"/>
        </w:rPr>
        <w:t>Par kontracepcijas metožu nodrošināšanu riska grupas sievietēm</w:t>
      </w:r>
    </w:p>
    <w:p w14:paraId="558AA91D" w14:textId="77777777" w:rsidR="003B5926" w:rsidRDefault="003B5926">
      <w:pPr>
        <w:spacing w:after="0" w:line="240" w:lineRule="auto"/>
        <w:jc w:val="both"/>
        <w:rPr>
          <w:rFonts w:ascii="Times New Roman" w:eastAsia="Times New Roman" w:hAnsi="Times New Roman" w:cs="Times New Roman"/>
          <w:color w:val="212121"/>
        </w:rPr>
      </w:pPr>
    </w:p>
    <w:p w14:paraId="438699C6" w14:textId="77777777" w:rsidR="003B5926" w:rsidRDefault="00A96CF8">
      <w:pPr>
        <w:spacing w:before="240" w:after="0"/>
        <w:jc w:val="both"/>
        <w:rPr>
          <w:rFonts w:ascii="Times New Roman" w:eastAsia="Times New Roman" w:hAnsi="Times New Roman" w:cs="Times New Roman"/>
          <w:color w:val="212121"/>
        </w:rPr>
      </w:pPr>
      <w:r>
        <w:rPr>
          <w:rFonts w:ascii="Times New Roman" w:eastAsia="Times New Roman" w:hAnsi="Times New Roman" w:cs="Times New Roman"/>
          <w:color w:val="212121"/>
        </w:rPr>
        <w:t xml:space="preserve">2024. gada 10. jūnijā notika organizāciju tikšanās par kontracepcijas metožu nodrošināšanu riska grupas jaunietēm. Organizācijas pilnībā atbalsta Bērnu klīniskās universitātes (turpmāk BKUS) ieteikumus attiecībā uz apmaksas nosacījumu paplašināšanu valsts </w:t>
      </w:r>
      <w:r>
        <w:rPr>
          <w:rFonts w:ascii="Times New Roman" w:eastAsia="Times New Roman" w:hAnsi="Times New Roman" w:cs="Times New Roman"/>
          <w:color w:val="212121"/>
        </w:rPr>
        <w:t xml:space="preserve">apmaksātas kontracepcijas nodrošināšanai.  </w:t>
      </w:r>
    </w:p>
    <w:p w14:paraId="1DC60B69" w14:textId="77777777" w:rsidR="003B5926" w:rsidRDefault="00A96CF8">
      <w:pPr>
        <w:spacing w:before="240" w:after="0"/>
        <w:jc w:val="both"/>
        <w:rPr>
          <w:rFonts w:ascii="Times New Roman" w:eastAsia="Times New Roman" w:hAnsi="Times New Roman" w:cs="Times New Roman"/>
          <w:color w:val="212121"/>
        </w:rPr>
      </w:pPr>
      <w:r>
        <w:rPr>
          <w:rFonts w:ascii="Times New Roman" w:eastAsia="Times New Roman" w:hAnsi="Times New Roman" w:cs="Times New Roman"/>
          <w:color w:val="212121"/>
        </w:rPr>
        <w:t xml:space="preserve">Papildus vēlamies aicināt novērst jau esošo nepilnību manipulāciju apmaksas kārtībā, manipulāciju </w:t>
      </w:r>
      <w:proofErr w:type="spellStart"/>
      <w:r>
        <w:rPr>
          <w:rFonts w:ascii="Times New Roman" w:eastAsia="Times New Roman" w:hAnsi="Times New Roman" w:cs="Times New Roman"/>
          <w:color w:val="212121"/>
        </w:rPr>
        <w:t>Nr</w:t>
      </w:r>
      <w:proofErr w:type="spellEnd"/>
      <w:r>
        <w:rPr>
          <w:rFonts w:ascii="Times New Roman" w:eastAsia="Times New Roman" w:hAnsi="Times New Roman" w:cs="Times New Roman"/>
          <w:color w:val="212121"/>
        </w:rPr>
        <w:t>: 16013 (</w:t>
      </w:r>
      <w:proofErr w:type="spellStart"/>
      <w:r>
        <w:rPr>
          <w:rFonts w:ascii="Times New Roman" w:eastAsia="Times New Roman" w:hAnsi="Times New Roman" w:cs="Times New Roman"/>
          <w:color w:val="212121"/>
        </w:rPr>
        <w:t>subdermālā</w:t>
      </w:r>
      <w:proofErr w:type="spellEnd"/>
      <w:r>
        <w:rPr>
          <w:rFonts w:ascii="Times New Roman" w:eastAsia="Times New Roman" w:hAnsi="Times New Roman" w:cs="Times New Roman"/>
          <w:color w:val="212121"/>
        </w:rPr>
        <w:t xml:space="preserve"> kontracepcijas implanta ievietošana augšdelmā ar implanta vērtību) pārveidot par manipulācij</w:t>
      </w:r>
      <w:r>
        <w:rPr>
          <w:rFonts w:ascii="Times New Roman" w:eastAsia="Times New Roman" w:hAnsi="Times New Roman" w:cs="Times New Roman"/>
          <w:color w:val="212121"/>
        </w:rPr>
        <w:t xml:space="preserve">u, kuru ārstniecības iestādei apmaksā arī tad, ja pacients atrodas stacionārā, ne tikai ambulatori, kā tas ir šobrīd. </w:t>
      </w:r>
    </w:p>
    <w:p w14:paraId="51B083C0" w14:textId="77777777" w:rsidR="003B5926" w:rsidRDefault="00A96CF8">
      <w:pPr>
        <w:spacing w:before="240" w:after="0"/>
        <w:jc w:val="both"/>
        <w:rPr>
          <w:rFonts w:ascii="Times New Roman" w:eastAsia="Times New Roman" w:hAnsi="Times New Roman" w:cs="Times New Roman"/>
          <w:color w:val="212121"/>
        </w:rPr>
      </w:pPr>
      <w:r>
        <w:rPr>
          <w:rFonts w:ascii="Times New Roman" w:eastAsia="Times New Roman" w:hAnsi="Times New Roman" w:cs="Times New Roman"/>
          <w:color w:val="212121"/>
        </w:rPr>
        <w:t>Saprotot, ka valsts finansējums veselības aprūpei ir ierobežots, mēs tomēr vēlētos norādīt uz jautājumiem, kas steidzami būtu jārisina pa</w:t>
      </w:r>
      <w:r>
        <w:rPr>
          <w:rFonts w:ascii="Times New Roman" w:eastAsia="Times New Roman" w:hAnsi="Times New Roman" w:cs="Times New Roman"/>
          <w:color w:val="212121"/>
        </w:rPr>
        <w:t>pildus iesniegtajiem ieteikumiem.</w:t>
      </w:r>
    </w:p>
    <w:p w14:paraId="7BBB36F6" w14:textId="77777777" w:rsidR="003B5926" w:rsidRDefault="00A96CF8">
      <w:pPr>
        <w:spacing w:before="240" w:after="0"/>
        <w:ind w:left="360"/>
        <w:jc w:val="both"/>
        <w:rPr>
          <w:rFonts w:ascii="Times New Roman" w:eastAsia="Times New Roman" w:hAnsi="Times New Roman" w:cs="Times New Roman"/>
          <w:color w:val="212121"/>
        </w:rPr>
      </w:pPr>
      <w:r>
        <w:rPr>
          <w:rFonts w:ascii="Times New Roman" w:eastAsia="Times New Roman" w:hAnsi="Times New Roman" w:cs="Times New Roman"/>
          <w:color w:val="212121"/>
        </w:rPr>
        <w:t>1)</w:t>
      </w:r>
      <w:r>
        <w:rPr>
          <w:rFonts w:ascii="Times New Roman" w:eastAsia="Times New Roman" w:hAnsi="Times New Roman" w:cs="Times New Roman"/>
          <w:color w:val="212121"/>
        </w:rPr>
        <w:tab/>
        <w:t>Papildus BKUS ieteiktajām pacientēm aicinātu iekļaut pacientes ar psihiskās veselības saslimšanām līdz 25 gadu vecumam:</w:t>
      </w:r>
    </w:p>
    <w:p w14:paraId="58386FE1" w14:textId="77777777" w:rsidR="003B5926" w:rsidRDefault="00A96CF8">
      <w:pPr>
        <w:numPr>
          <w:ilvl w:val="0"/>
          <w:numId w:val="2"/>
        </w:numPr>
        <w:spacing w:after="0" w:line="240" w:lineRule="auto"/>
        <w:jc w:val="both"/>
      </w:pPr>
      <w:r>
        <w:rPr>
          <w:rFonts w:ascii="Times New Roman" w:eastAsia="Times New Roman" w:hAnsi="Times New Roman" w:cs="Times New Roman"/>
          <w:highlight w:val="white"/>
        </w:rPr>
        <w:t>šizofrēnija (F20)</w:t>
      </w:r>
    </w:p>
    <w:p w14:paraId="0828F5F7" w14:textId="77777777" w:rsidR="003B5926" w:rsidRDefault="00A96CF8">
      <w:pPr>
        <w:numPr>
          <w:ilvl w:val="0"/>
          <w:numId w:val="2"/>
        </w:numPr>
        <w:spacing w:after="0" w:line="240" w:lineRule="auto"/>
        <w:jc w:val="both"/>
      </w:pPr>
      <w:r>
        <w:rPr>
          <w:rFonts w:ascii="Times New Roman" w:eastAsia="Times New Roman" w:hAnsi="Times New Roman" w:cs="Times New Roman"/>
          <w:highlight w:val="white"/>
        </w:rPr>
        <w:t xml:space="preserve">intelektuālās attīstības traucējumi (garīgā atpalicība) visās smaguma </w:t>
      </w:r>
      <w:r>
        <w:rPr>
          <w:rFonts w:ascii="Times New Roman" w:eastAsia="Times New Roman" w:hAnsi="Times New Roman" w:cs="Times New Roman"/>
          <w:highlight w:val="white"/>
        </w:rPr>
        <w:t>pakāpēs (F70-F79)</w:t>
      </w:r>
    </w:p>
    <w:p w14:paraId="2670B570" w14:textId="77777777" w:rsidR="003B5926" w:rsidRDefault="00A96CF8">
      <w:pPr>
        <w:numPr>
          <w:ilvl w:val="0"/>
          <w:numId w:val="2"/>
        </w:numPr>
        <w:spacing w:after="0" w:line="240" w:lineRule="auto"/>
        <w:jc w:val="both"/>
      </w:pPr>
      <w:r>
        <w:rPr>
          <w:rFonts w:ascii="Times New Roman" w:eastAsia="Times New Roman" w:hAnsi="Times New Roman" w:cs="Times New Roman"/>
          <w:highlight w:val="white"/>
        </w:rPr>
        <w:t>vidēji smaga un smaga depresijas epizode (F32.1, F32.2, F32.3)</w:t>
      </w:r>
    </w:p>
    <w:p w14:paraId="4CED3FB6" w14:textId="77777777" w:rsidR="003B5926" w:rsidRDefault="00A96CF8">
      <w:pPr>
        <w:numPr>
          <w:ilvl w:val="0"/>
          <w:numId w:val="2"/>
        </w:numPr>
        <w:spacing w:after="0" w:line="240" w:lineRule="auto"/>
        <w:jc w:val="both"/>
      </w:pPr>
      <w:proofErr w:type="spellStart"/>
      <w:r>
        <w:rPr>
          <w:rFonts w:ascii="Times New Roman" w:eastAsia="Times New Roman" w:hAnsi="Times New Roman" w:cs="Times New Roman"/>
          <w:highlight w:val="white"/>
        </w:rPr>
        <w:t>rekurenti</w:t>
      </w:r>
      <w:proofErr w:type="spellEnd"/>
      <w:r>
        <w:rPr>
          <w:rFonts w:ascii="Times New Roman" w:eastAsia="Times New Roman" w:hAnsi="Times New Roman" w:cs="Times New Roman"/>
          <w:highlight w:val="white"/>
        </w:rPr>
        <w:t xml:space="preserve"> depresīvi traucējumi (F33)</w:t>
      </w:r>
    </w:p>
    <w:p w14:paraId="44B20188" w14:textId="77777777" w:rsidR="003B5926" w:rsidRDefault="00A96CF8">
      <w:pPr>
        <w:numPr>
          <w:ilvl w:val="0"/>
          <w:numId w:val="2"/>
        </w:numPr>
        <w:spacing w:after="0" w:line="240" w:lineRule="auto"/>
        <w:jc w:val="both"/>
      </w:pPr>
      <w:r>
        <w:rPr>
          <w:rFonts w:ascii="Times New Roman" w:eastAsia="Times New Roman" w:hAnsi="Times New Roman" w:cs="Times New Roman"/>
          <w:highlight w:val="white"/>
        </w:rPr>
        <w:t xml:space="preserve">bipolāri </w:t>
      </w:r>
      <w:proofErr w:type="spellStart"/>
      <w:r>
        <w:rPr>
          <w:rFonts w:ascii="Times New Roman" w:eastAsia="Times New Roman" w:hAnsi="Times New Roman" w:cs="Times New Roman"/>
          <w:highlight w:val="white"/>
        </w:rPr>
        <w:t>afektīvi</w:t>
      </w:r>
      <w:proofErr w:type="spellEnd"/>
      <w:r>
        <w:rPr>
          <w:rFonts w:ascii="Times New Roman" w:eastAsia="Times New Roman" w:hAnsi="Times New Roman" w:cs="Times New Roman"/>
          <w:highlight w:val="white"/>
        </w:rPr>
        <w:t xml:space="preserve"> traucējumi (F31)</w:t>
      </w:r>
    </w:p>
    <w:p w14:paraId="7BF1A521" w14:textId="77777777" w:rsidR="003B5926" w:rsidRDefault="00A96CF8">
      <w:pPr>
        <w:numPr>
          <w:ilvl w:val="0"/>
          <w:numId w:val="2"/>
        </w:numPr>
        <w:spacing w:after="0" w:line="240" w:lineRule="auto"/>
        <w:jc w:val="both"/>
      </w:pPr>
      <w:r>
        <w:rPr>
          <w:rFonts w:ascii="Times New Roman" w:eastAsia="Times New Roman" w:hAnsi="Times New Roman" w:cs="Times New Roman"/>
          <w:highlight w:val="white"/>
        </w:rPr>
        <w:t>maniakāla epizode (F30,  F30.0, F30.1. F30.2, F30.8, F30.9)</w:t>
      </w:r>
    </w:p>
    <w:p w14:paraId="0058E452" w14:textId="77777777" w:rsidR="003B5926" w:rsidRDefault="00A96CF8">
      <w:pPr>
        <w:numPr>
          <w:ilvl w:val="0"/>
          <w:numId w:val="2"/>
        </w:numPr>
        <w:spacing w:after="0" w:line="240" w:lineRule="auto"/>
        <w:jc w:val="both"/>
      </w:pPr>
      <w:r>
        <w:rPr>
          <w:rFonts w:ascii="Times New Roman" w:eastAsia="Times New Roman" w:hAnsi="Times New Roman" w:cs="Times New Roman"/>
          <w:highlight w:val="white"/>
        </w:rPr>
        <w:lastRenderedPageBreak/>
        <w:t xml:space="preserve">atkarību diagnoze (no visa veida </w:t>
      </w:r>
      <w:proofErr w:type="spellStart"/>
      <w:r>
        <w:rPr>
          <w:rFonts w:ascii="Times New Roman" w:eastAsia="Times New Roman" w:hAnsi="Times New Roman" w:cs="Times New Roman"/>
          <w:highlight w:val="white"/>
        </w:rPr>
        <w:t>psihoaktīvām</w:t>
      </w:r>
      <w:proofErr w:type="spellEnd"/>
      <w:r>
        <w:rPr>
          <w:rFonts w:ascii="Times New Roman" w:eastAsia="Times New Roman" w:hAnsi="Times New Roman" w:cs="Times New Roman"/>
          <w:highlight w:val="white"/>
        </w:rPr>
        <w:t xml:space="preserve"> vielām), (F10., F11.2, F12.2)</w:t>
      </w:r>
    </w:p>
    <w:p w14:paraId="6D3BBEAE" w14:textId="77777777" w:rsidR="003B5926" w:rsidRDefault="00A96CF8">
      <w:pPr>
        <w:numPr>
          <w:ilvl w:val="0"/>
          <w:numId w:val="2"/>
        </w:numPr>
        <w:spacing w:after="0" w:line="240" w:lineRule="auto"/>
        <w:jc w:val="both"/>
      </w:pPr>
      <w:proofErr w:type="spellStart"/>
      <w:r>
        <w:rPr>
          <w:rFonts w:ascii="Times New Roman" w:eastAsia="Times New Roman" w:hAnsi="Times New Roman" w:cs="Times New Roman"/>
          <w:highlight w:val="white"/>
        </w:rPr>
        <w:t>hipekinētiskie</w:t>
      </w:r>
      <w:proofErr w:type="spellEnd"/>
      <w:r>
        <w:rPr>
          <w:rFonts w:ascii="Times New Roman" w:eastAsia="Times New Roman" w:hAnsi="Times New Roman" w:cs="Times New Roman"/>
          <w:highlight w:val="white"/>
        </w:rPr>
        <w:t xml:space="preserve"> traucējumi (F90)</w:t>
      </w:r>
    </w:p>
    <w:p w14:paraId="280F0F73" w14:textId="77777777" w:rsidR="003B5926" w:rsidRDefault="00A96CF8">
      <w:pPr>
        <w:numPr>
          <w:ilvl w:val="0"/>
          <w:numId w:val="2"/>
        </w:numPr>
        <w:spacing w:after="0" w:line="240" w:lineRule="auto"/>
        <w:jc w:val="both"/>
      </w:pPr>
      <w:r>
        <w:rPr>
          <w:rFonts w:ascii="Times New Roman" w:eastAsia="Times New Roman" w:hAnsi="Times New Roman" w:cs="Times New Roman"/>
          <w:highlight w:val="white"/>
        </w:rPr>
        <w:t>uzvedības traucējumi (F91)</w:t>
      </w:r>
    </w:p>
    <w:p w14:paraId="64D088C4" w14:textId="77777777" w:rsidR="003B5926" w:rsidRDefault="00A96CF8">
      <w:pPr>
        <w:numPr>
          <w:ilvl w:val="0"/>
          <w:numId w:val="2"/>
        </w:numPr>
        <w:spacing w:after="0" w:line="240" w:lineRule="auto"/>
        <w:jc w:val="both"/>
      </w:pPr>
      <w:proofErr w:type="spellStart"/>
      <w:r>
        <w:rPr>
          <w:rFonts w:ascii="Times New Roman" w:eastAsia="Times New Roman" w:hAnsi="Times New Roman" w:cs="Times New Roman"/>
          <w:highlight w:val="white"/>
        </w:rPr>
        <w:t>pervezīvi</w:t>
      </w:r>
      <w:proofErr w:type="spellEnd"/>
      <w:r>
        <w:rPr>
          <w:rFonts w:ascii="Times New Roman" w:eastAsia="Times New Roman" w:hAnsi="Times New Roman" w:cs="Times New Roman"/>
          <w:highlight w:val="white"/>
        </w:rPr>
        <w:t xml:space="preserve"> attīstības traucējumi (F84)</w:t>
      </w:r>
    </w:p>
    <w:p w14:paraId="2F1BA6D0" w14:textId="77777777" w:rsidR="003B5926" w:rsidRDefault="00A96CF8">
      <w:pPr>
        <w:spacing w:before="240" w:after="0"/>
        <w:ind w:left="360"/>
        <w:jc w:val="both"/>
        <w:rPr>
          <w:rFonts w:ascii="Times New Roman" w:eastAsia="Times New Roman" w:hAnsi="Times New Roman" w:cs="Times New Roman"/>
          <w:color w:val="212121"/>
        </w:rPr>
      </w:pPr>
      <w:r>
        <w:rPr>
          <w:rFonts w:ascii="Times New Roman" w:eastAsia="Times New Roman" w:hAnsi="Times New Roman" w:cs="Times New Roman"/>
          <w:color w:val="212121"/>
        </w:rPr>
        <w:t>2)</w:t>
      </w:r>
      <w:r>
        <w:rPr>
          <w:rFonts w:ascii="Times New Roman" w:eastAsia="Times New Roman" w:hAnsi="Times New Roman" w:cs="Times New Roman"/>
          <w:color w:val="212121"/>
        </w:rPr>
        <w:tab/>
        <w:t>Šobrīd BKUS ieteikums ir apmaksāt kontracepciju pacientēm ar invaliditāti līdz 1</w:t>
      </w:r>
      <w:r>
        <w:rPr>
          <w:rFonts w:ascii="Times New Roman" w:eastAsia="Times New Roman" w:hAnsi="Times New Roman" w:cs="Times New Roman"/>
          <w:color w:val="212121"/>
        </w:rPr>
        <w:t>8 gadu vecumam, tomēr stingri rekomendētu palielināt šo slieksni līdz 25 gadu vecumam pacientēm ar 1. un 2. grupas invaliditāti.</w:t>
      </w:r>
    </w:p>
    <w:p w14:paraId="52DB4AB6" w14:textId="77777777" w:rsidR="003B5926" w:rsidRDefault="00A96CF8">
      <w:pPr>
        <w:spacing w:before="240" w:after="0"/>
        <w:ind w:left="360"/>
        <w:jc w:val="both"/>
        <w:rPr>
          <w:rFonts w:ascii="Times New Roman" w:eastAsia="Times New Roman" w:hAnsi="Times New Roman" w:cs="Times New Roman"/>
          <w:color w:val="212121"/>
        </w:rPr>
      </w:pPr>
      <w:r>
        <w:rPr>
          <w:rFonts w:ascii="Times New Roman" w:eastAsia="Times New Roman" w:hAnsi="Times New Roman" w:cs="Times New Roman"/>
          <w:color w:val="212121"/>
        </w:rPr>
        <w:t>3)</w:t>
      </w:r>
      <w:r>
        <w:rPr>
          <w:rFonts w:ascii="Times New Roman" w:eastAsia="Times New Roman" w:hAnsi="Times New Roman" w:cs="Times New Roman"/>
          <w:color w:val="212121"/>
        </w:rPr>
        <w:tab/>
        <w:t xml:space="preserve">Lūdzam tuvākajā nākotnē palīdzēt nodrošināt izvēles iespējas pacientēm, paplašinot apmaksājamo metožu klāstu, iekļaujot arī </w:t>
      </w:r>
      <w:r>
        <w:rPr>
          <w:rFonts w:ascii="Times New Roman" w:eastAsia="Times New Roman" w:hAnsi="Times New Roman" w:cs="Times New Roman"/>
          <w:color w:val="212121"/>
        </w:rPr>
        <w:t xml:space="preserve">kombinēto hormonālo kontracepciju, primāri, </w:t>
      </w:r>
      <w:proofErr w:type="spellStart"/>
      <w:r>
        <w:rPr>
          <w:rFonts w:ascii="Times New Roman" w:eastAsia="Times New Roman" w:hAnsi="Times New Roman" w:cs="Times New Roman"/>
          <w:color w:val="212121"/>
        </w:rPr>
        <w:t>vaginālo</w:t>
      </w:r>
      <w:proofErr w:type="spellEnd"/>
      <w:r>
        <w:rPr>
          <w:rFonts w:ascii="Times New Roman" w:eastAsia="Times New Roman" w:hAnsi="Times New Roman" w:cs="Times New Roman"/>
          <w:color w:val="212121"/>
        </w:rPr>
        <w:t xml:space="preserve"> riņķi (kas jālieto tikai reizi trīs </w:t>
      </w:r>
      <w:proofErr w:type="spellStart"/>
      <w:r>
        <w:rPr>
          <w:rFonts w:ascii="Times New Roman" w:eastAsia="Times New Roman" w:hAnsi="Times New Roman" w:cs="Times New Roman"/>
          <w:color w:val="212121"/>
        </w:rPr>
        <w:t>nedeļās</w:t>
      </w:r>
      <w:proofErr w:type="spellEnd"/>
      <w:r>
        <w:rPr>
          <w:rFonts w:ascii="Times New Roman" w:eastAsia="Times New Roman" w:hAnsi="Times New Roman" w:cs="Times New Roman"/>
          <w:color w:val="212121"/>
        </w:rPr>
        <w:t xml:space="preserve">) un </w:t>
      </w:r>
      <w:proofErr w:type="spellStart"/>
      <w:r>
        <w:rPr>
          <w:rFonts w:ascii="Times New Roman" w:eastAsia="Times New Roman" w:hAnsi="Times New Roman" w:cs="Times New Roman"/>
          <w:color w:val="212121"/>
        </w:rPr>
        <w:t>transdermālo</w:t>
      </w:r>
      <w:proofErr w:type="spellEnd"/>
      <w:r>
        <w:rPr>
          <w:rFonts w:ascii="Times New Roman" w:eastAsia="Times New Roman" w:hAnsi="Times New Roman" w:cs="Times New Roman"/>
          <w:color w:val="212121"/>
        </w:rPr>
        <w:t xml:space="preserve"> plāksteri (kas jālieto reizi nedēļā). Ne visas pacientes ir gatavas lietot dzemdes spirāli vai zemādas kontracepcijas implantu, kā arī atseviš</w:t>
      </w:r>
      <w:r>
        <w:rPr>
          <w:rFonts w:ascii="Times New Roman" w:eastAsia="Times New Roman" w:hAnsi="Times New Roman" w:cs="Times New Roman"/>
          <w:color w:val="212121"/>
        </w:rPr>
        <w:t>ķām pacientēm citas metodes var būt piemērotākas. Vienlaikus vēlamies uzsvērt, ka šobrīd nav mehānismu šo kontracepcijas metožu apmaksai. Manipulācijas tarifa apmaksas kārtība nebūtu piemērojama šajā gadījumā, jo pacientes kontracepciju iegādājas reizi mēn</w:t>
      </w:r>
      <w:r>
        <w:rPr>
          <w:rFonts w:ascii="Times New Roman" w:eastAsia="Times New Roman" w:hAnsi="Times New Roman" w:cs="Times New Roman"/>
          <w:color w:val="212121"/>
        </w:rPr>
        <w:t>esī gada garumā. Šobrīd iekļaušana kompensējamo medikamentu sarakstā ir ārkārtīgi komplicēta un bez farmācijas kompāniju iesaistes vispār nav iespējama. Tā ietver nepieciešamību iesniegt, piemēram, detalizētu izmaksu efektivitātes aprēķinu, salīdzinājumu a</w:t>
      </w:r>
      <w:r>
        <w:rPr>
          <w:rFonts w:ascii="Times New Roman" w:eastAsia="Times New Roman" w:hAnsi="Times New Roman" w:cs="Times New Roman"/>
          <w:color w:val="212121"/>
        </w:rPr>
        <w:t xml:space="preserve">r citu valstu noteikto cenu līmeni, apliecinājumus par medikamentu pieejamības nodrošināšanu u.c. dokumentus. Tādējādi sen pieejamas kombinētās hormonālās kontracepcijas tabletes (piemēram, </w:t>
      </w:r>
      <w:proofErr w:type="spellStart"/>
      <w:r>
        <w:rPr>
          <w:rFonts w:ascii="Times New Roman" w:eastAsia="Times New Roman" w:hAnsi="Times New Roman" w:cs="Times New Roman"/>
          <w:i/>
          <w:color w:val="212121"/>
        </w:rPr>
        <w:t>Levonorgestrelum</w:t>
      </w:r>
      <w:proofErr w:type="spellEnd"/>
      <w:r>
        <w:rPr>
          <w:rFonts w:ascii="Times New Roman" w:eastAsia="Times New Roman" w:hAnsi="Times New Roman" w:cs="Times New Roman"/>
          <w:i/>
          <w:color w:val="212121"/>
        </w:rPr>
        <w:t>/</w:t>
      </w:r>
      <w:proofErr w:type="spellStart"/>
      <w:r>
        <w:rPr>
          <w:rFonts w:ascii="Times New Roman" w:eastAsia="Times New Roman" w:hAnsi="Times New Roman" w:cs="Times New Roman"/>
          <w:i/>
          <w:color w:val="212121"/>
        </w:rPr>
        <w:t>Ethinylestradiolum</w:t>
      </w:r>
      <w:proofErr w:type="spellEnd"/>
      <w:r>
        <w:rPr>
          <w:rFonts w:ascii="Times New Roman" w:eastAsia="Times New Roman" w:hAnsi="Times New Roman" w:cs="Times New Roman"/>
          <w:color w:val="212121"/>
        </w:rPr>
        <w:t xml:space="preserve"> saturošas tabletes, kuru izmak</w:t>
      </w:r>
      <w:r>
        <w:rPr>
          <w:rFonts w:ascii="Times New Roman" w:eastAsia="Times New Roman" w:hAnsi="Times New Roman" w:cs="Times New Roman"/>
          <w:color w:val="212121"/>
        </w:rPr>
        <w:t xml:space="preserve">sas ir līdz 5 </w:t>
      </w:r>
      <w:proofErr w:type="spellStart"/>
      <w:r>
        <w:rPr>
          <w:rFonts w:ascii="Times New Roman" w:eastAsia="Times New Roman" w:hAnsi="Times New Roman" w:cs="Times New Roman"/>
          <w:color w:val="212121"/>
        </w:rPr>
        <w:t>eur</w:t>
      </w:r>
      <w:proofErr w:type="spellEnd"/>
      <w:r>
        <w:rPr>
          <w:rFonts w:ascii="Times New Roman" w:eastAsia="Times New Roman" w:hAnsi="Times New Roman" w:cs="Times New Roman"/>
          <w:color w:val="212121"/>
        </w:rPr>
        <w:t xml:space="preserve"> mēnesī), kas ir arī ar labu drošības un blakusparādību profilu nemaz nevar tikt izvirzītas iekļaušanai kompensējamo medikamentu sarakstā. Lūdzam kopīgi meklēt risinājumus, lai kontracepcijas metožu klāsts, ko apmaksā valsts, varētu tikt p</w:t>
      </w:r>
      <w:r>
        <w:rPr>
          <w:rFonts w:ascii="Times New Roman" w:eastAsia="Times New Roman" w:hAnsi="Times New Roman" w:cs="Times New Roman"/>
          <w:color w:val="212121"/>
        </w:rPr>
        <w:t xml:space="preserve">aplašināts arī ar metodēm, ko nav iespējams nodrošināt vienas vizītes laikā un kurām nav piemērojams manipulācijas apmaksas tarifs. </w:t>
      </w:r>
    </w:p>
    <w:p w14:paraId="41CDF718" w14:textId="77777777" w:rsidR="003B5926" w:rsidRDefault="00A96CF8">
      <w:pPr>
        <w:spacing w:before="240" w:after="0"/>
        <w:ind w:left="360"/>
        <w:jc w:val="both"/>
        <w:rPr>
          <w:rFonts w:ascii="Times New Roman" w:eastAsia="Times New Roman" w:hAnsi="Times New Roman" w:cs="Times New Roman"/>
          <w:color w:val="212121"/>
        </w:rPr>
      </w:pPr>
      <w:r>
        <w:rPr>
          <w:rFonts w:ascii="Times New Roman" w:eastAsia="Times New Roman" w:hAnsi="Times New Roman" w:cs="Times New Roman"/>
          <w:color w:val="212121"/>
        </w:rPr>
        <w:t>4)</w:t>
      </w:r>
      <w:r>
        <w:rPr>
          <w:rFonts w:ascii="Times New Roman" w:eastAsia="Times New Roman" w:hAnsi="Times New Roman" w:cs="Times New Roman"/>
          <w:color w:val="212121"/>
        </w:rPr>
        <w:tab/>
        <w:t>Ārkārtīgi būtiski būtu nodrošināt pieeju valsts apmaksātiem prezervatīviem, kas ir vienīgā kontracepcijas metode, kas pa</w:t>
      </w:r>
      <w:r>
        <w:rPr>
          <w:rFonts w:ascii="Times New Roman" w:eastAsia="Times New Roman" w:hAnsi="Times New Roman" w:cs="Times New Roman"/>
          <w:color w:val="212121"/>
        </w:rPr>
        <w:t>sargā arī no seksuāli transmisīvām slimībām. Saskaņā ar Oficiālajā statistikas portālā pieejamiem datiem, Latvijā šobrīd ir 37 012 jaunieši vecumā no 16 – 17 gadu (ieskaitot) vecumam. Zināms, ka apmēram 50% jaunieši ir uzsākuši dzimumdzīvi šajā vecumā, tāt</w:t>
      </w:r>
      <w:r>
        <w:rPr>
          <w:rFonts w:ascii="Times New Roman" w:eastAsia="Times New Roman" w:hAnsi="Times New Roman" w:cs="Times New Roman"/>
          <w:color w:val="212121"/>
        </w:rPr>
        <w:t>ad tie būtu 18,5 tūkstoši jauniešu. Saskaņā ar Pētījuma par Latvijas iedzīvotāju seksuālās un reproduktīvās veselības ietekmējošiem faktoriem un paradumiem datiem, prezervatīvus lieto apmēram 70% jauniešu, tie varētu būt līdz 13 tūkstošiem jauniešu. Pat pi</w:t>
      </w:r>
      <w:r>
        <w:rPr>
          <w:rFonts w:ascii="Times New Roman" w:eastAsia="Times New Roman" w:hAnsi="Times New Roman" w:cs="Times New Roman"/>
          <w:color w:val="212121"/>
        </w:rPr>
        <w:t>eņemot, ka katram no viņiem būtu nepieciešami 10 prezervatīvi mēnesī, gadā šīs izmaksas sastādītu līdz 65 tūkstošiem eiro. Ņemot vērā to, cik valstij izmaksā vēlāka neauglības ārstēšana, seksuāli transmisīvu infekciju ārstēšana (t.sk. HIV, Hepatītu ārstēša</w:t>
      </w:r>
      <w:r>
        <w:rPr>
          <w:rFonts w:ascii="Times New Roman" w:eastAsia="Times New Roman" w:hAnsi="Times New Roman" w:cs="Times New Roman"/>
          <w:color w:val="212121"/>
        </w:rPr>
        <w:t xml:space="preserve">na), tas būtu ekonomiski pamatots solis. Vienlaikus, lūdzu, plānot mehānismus, kā šāda prezervatīvu  nodrošināšana praktiski varētu tikt ieviesta. </w:t>
      </w:r>
    </w:p>
    <w:p w14:paraId="158D186E" w14:textId="77777777" w:rsidR="003B5926" w:rsidRDefault="00A96CF8">
      <w:pPr>
        <w:spacing w:before="240" w:after="0"/>
        <w:jc w:val="both"/>
        <w:rPr>
          <w:rFonts w:ascii="Times New Roman" w:eastAsia="Times New Roman" w:hAnsi="Times New Roman" w:cs="Times New Roman"/>
          <w:color w:val="212121"/>
        </w:rPr>
      </w:pPr>
      <w:r>
        <w:rPr>
          <w:rFonts w:ascii="Times New Roman" w:eastAsia="Times New Roman" w:hAnsi="Times New Roman" w:cs="Times New Roman"/>
          <w:color w:val="212121"/>
        </w:rPr>
        <w:lastRenderedPageBreak/>
        <w:t>Konkrēto pacientu indikāciju atpazīšana uzskaites nolūkiem varētu notikt sekojošā veidā, atkarībā no indikāc</w:t>
      </w:r>
      <w:r>
        <w:rPr>
          <w:rFonts w:ascii="Times New Roman" w:eastAsia="Times New Roman" w:hAnsi="Times New Roman" w:cs="Times New Roman"/>
          <w:color w:val="212121"/>
        </w:rPr>
        <w:t>iju veida:</w:t>
      </w:r>
    </w:p>
    <w:p w14:paraId="60EEFD17" w14:textId="77777777" w:rsidR="003B5926" w:rsidRDefault="00A96CF8">
      <w:pPr>
        <w:numPr>
          <w:ilvl w:val="0"/>
          <w:numId w:val="1"/>
        </w:numPr>
        <w:spacing w:before="240" w:after="0"/>
        <w:jc w:val="both"/>
        <w:rPr>
          <w:rFonts w:ascii="Times New Roman" w:eastAsia="Times New Roman" w:hAnsi="Times New Roman" w:cs="Times New Roman"/>
          <w:color w:val="212121"/>
        </w:rPr>
      </w:pPr>
      <w:r>
        <w:rPr>
          <w:rFonts w:ascii="Times New Roman" w:eastAsia="Times New Roman" w:hAnsi="Times New Roman" w:cs="Times New Roman"/>
          <w:color w:val="212121"/>
        </w:rPr>
        <w:t xml:space="preserve">Diagnozes kods ambulatorajā talonā/stacionāra kartē pacientiem, kuriem kompensācija pienākas atbilstoši SSK-10 kodam; </w:t>
      </w:r>
    </w:p>
    <w:p w14:paraId="4B703FFC" w14:textId="77777777" w:rsidR="003B5926" w:rsidRDefault="00A96CF8">
      <w:pPr>
        <w:numPr>
          <w:ilvl w:val="0"/>
          <w:numId w:val="1"/>
        </w:numPr>
        <w:spacing w:after="0"/>
        <w:jc w:val="both"/>
        <w:rPr>
          <w:rFonts w:ascii="Times New Roman" w:eastAsia="Times New Roman" w:hAnsi="Times New Roman" w:cs="Times New Roman"/>
          <w:color w:val="212121"/>
        </w:rPr>
      </w:pPr>
      <w:r>
        <w:rPr>
          <w:rFonts w:ascii="Times New Roman" w:eastAsia="Times New Roman" w:hAnsi="Times New Roman" w:cs="Times New Roman"/>
          <w:color w:val="212121"/>
        </w:rPr>
        <w:t>Meitenēm līdz 18 gadu vecumam, kurām bijusi grūtniecība, kas beigusies ar dzemdībām diagnozes kods: Z35.6 - ļoti jaunas pirmdz</w:t>
      </w:r>
      <w:r>
        <w:rPr>
          <w:rFonts w:ascii="Times New Roman" w:eastAsia="Times New Roman" w:hAnsi="Times New Roman" w:cs="Times New Roman"/>
          <w:color w:val="212121"/>
        </w:rPr>
        <w:t xml:space="preserve">emdētājas novērošana. Meitenēm līdz 18 gadu vecumam, kurām veikta grūtniecības </w:t>
      </w:r>
      <w:proofErr w:type="spellStart"/>
      <w:r>
        <w:rPr>
          <w:rFonts w:ascii="Times New Roman" w:eastAsia="Times New Roman" w:hAnsi="Times New Roman" w:cs="Times New Roman"/>
          <w:color w:val="212121"/>
        </w:rPr>
        <w:t>pārtaukšana</w:t>
      </w:r>
      <w:proofErr w:type="spellEnd"/>
      <w:r>
        <w:rPr>
          <w:rFonts w:ascii="Times New Roman" w:eastAsia="Times New Roman" w:hAnsi="Times New Roman" w:cs="Times New Roman"/>
          <w:color w:val="212121"/>
        </w:rPr>
        <w:t xml:space="preserve"> diagnoze vai </w:t>
      </w:r>
      <w:proofErr w:type="spellStart"/>
      <w:r>
        <w:rPr>
          <w:rFonts w:ascii="Times New Roman" w:eastAsia="Times New Roman" w:hAnsi="Times New Roman" w:cs="Times New Roman"/>
          <w:color w:val="212121"/>
        </w:rPr>
        <w:t>blakusdiagnoze</w:t>
      </w:r>
      <w:proofErr w:type="spellEnd"/>
      <w:r>
        <w:rPr>
          <w:rFonts w:ascii="Times New Roman" w:eastAsia="Times New Roman" w:hAnsi="Times New Roman" w:cs="Times New Roman"/>
          <w:color w:val="212121"/>
        </w:rPr>
        <w:t xml:space="preserve"> O04 (medicīnisks aborts. Saskaņā ar SSK-10 skaidrojumiem, jāiekļauj arī legāls aborts). </w:t>
      </w:r>
    </w:p>
    <w:p w14:paraId="2C537E37" w14:textId="77777777" w:rsidR="003B5926" w:rsidRDefault="00A96CF8">
      <w:pPr>
        <w:numPr>
          <w:ilvl w:val="0"/>
          <w:numId w:val="1"/>
        </w:numPr>
        <w:spacing w:after="0"/>
        <w:jc w:val="both"/>
        <w:rPr>
          <w:rFonts w:ascii="Times New Roman" w:eastAsia="Times New Roman" w:hAnsi="Times New Roman" w:cs="Times New Roman"/>
          <w:color w:val="212121"/>
        </w:rPr>
      </w:pPr>
      <w:proofErr w:type="spellStart"/>
      <w:r>
        <w:rPr>
          <w:rFonts w:ascii="Times New Roman" w:eastAsia="Times New Roman" w:hAnsi="Times New Roman" w:cs="Times New Roman"/>
          <w:color w:val="212121"/>
        </w:rPr>
        <w:t>Ārpusģimenes</w:t>
      </w:r>
      <w:proofErr w:type="spellEnd"/>
      <w:r>
        <w:rPr>
          <w:rFonts w:ascii="Times New Roman" w:eastAsia="Times New Roman" w:hAnsi="Times New Roman" w:cs="Times New Roman"/>
          <w:color w:val="212121"/>
        </w:rPr>
        <w:t xml:space="preserve"> aprūpē esošām personām papildus dia</w:t>
      </w:r>
      <w:r>
        <w:rPr>
          <w:rFonts w:ascii="Times New Roman" w:eastAsia="Times New Roman" w:hAnsi="Times New Roman" w:cs="Times New Roman"/>
          <w:color w:val="212121"/>
        </w:rPr>
        <w:t>gnozes kods: Z62.2 (Audzināšana institucionālā iestādē);</w:t>
      </w:r>
    </w:p>
    <w:p w14:paraId="1A1DCB64" w14:textId="77777777" w:rsidR="003B5926" w:rsidRDefault="00A96CF8">
      <w:pPr>
        <w:numPr>
          <w:ilvl w:val="0"/>
          <w:numId w:val="1"/>
        </w:numPr>
        <w:spacing w:after="0"/>
        <w:jc w:val="both"/>
        <w:rPr>
          <w:rFonts w:ascii="Times New Roman" w:eastAsia="Times New Roman" w:hAnsi="Times New Roman" w:cs="Times New Roman"/>
          <w:color w:val="212121"/>
        </w:rPr>
      </w:pPr>
      <w:r>
        <w:rPr>
          <w:rFonts w:ascii="Times New Roman" w:eastAsia="Times New Roman" w:hAnsi="Times New Roman" w:cs="Times New Roman"/>
          <w:color w:val="212121"/>
        </w:rPr>
        <w:t>Iemaksu kategorija ambulatorajā talonā par epizodi vai formējot stacionāra karti:</w:t>
      </w:r>
    </w:p>
    <w:p w14:paraId="041072C7" w14:textId="77777777" w:rsidR="003B5926" w:rsidRDefault="00A96CF8">
      <w:pPr>
        <w:spacing w:after="0"/>
        <w:ind w:left="1800" w:hanging="360"/>
        <w:jc w:val="both"/>
        <w:rPr>
          <w:rFonts w:ascii="Times New Roman" w:eastAsia="Times New Roman" w:hAnsi="Times New Roman" w:cs="Times New Roman"/>
          <w:color w:val="212121"/>
        </w:rPr>
      </w:pPr>
      <w:r>
        <w:rPr>
          <w:rFonts w:ascii="Times New Roman" w:eastAsia="Times New Roman" w:hAnsi="Times New Roman" w:cs="Times New Roman"/>
          <w:color w:val="212121"/>
        </w:rPr>
        <w:t>o   Nr. 15 – trūcīga persona;</w:t>
      </w:r>
    </w:p>
    <w:p w14:paraId="060FFFA8" w14:textId="77777777" w:rsidR="003B5926" w:rsidRDefault="00A96CF8">
      <w:pPr>
        <w:spacing w:after="0"/>
        <w:ind w:left="1800" w:hanging="360"/>
        <w:jc w:val="both"/>
        <w:rPr>
          <w:rFonts w:ascii="Times New Roman" w:eastAsia="Times New Roman" w:hAnsi="Times New Roman" w:cs="Times New Roman"/>
          <w:color w:val="212121"/>
        </w:rPr>
      </w:pPr>
      <w:r>
        <w:rPr>
          <w:rFonts w:ascii="Times New Roman" w:eastAsia="Times New Roman" w:hAnsi="Times New Roman" w:cs="Times New Roman"/>
          <w:color w:val="212121"/>
        </w:rPr>
        <w:t>o   Nr. 131 – persona, kurām noteikta II grupas invaliditāte;</w:t>
      </w:r>
    </w:p>
    <w:p w14:paraId="2ECF8ED3" w14:textId="77777777" w:rsidR="003B5926" w:rsidRDefault="00A96CF8">
      <w:pPr>
        <w:spacing w:after="0"/>
        <w:ind w:left="1800" w:hanging="360"/>
        <w:jc w:val="both"/>
        <w:rPr>
          <w:rFonts w:ascii="Times New Roman" w:eastAsia="Times New Roman" w:hAnsi="Times New Roman" w:cs="Times New Roman"/>
          <w:color w:val="212121"/>
        </w:rPr>
      </w:pPr>
      <w:r>
        <w:rPr>
          <w:rFonts w:ascii="Times New Roman" w:eastAsia="Times New Roman" w:hAnsi="Times New Roman" w:cs="Times New Roman"/>
          <w:color w:val="212121"/>
        </w:rPr>
        <w:t>o   Nr. 59 – 1. grupas in</w:t>
      </w:r>
      <w:r>
        <w:rPr>
          <w:rFonts w:ascii="Times New Roman" w:eastAsia="Times New Roman" w:hAnsi="Times New Roman" w:cs="Times New Roman"/>
          <w:color w:val="212121"/>
        </w:rPr>
        <w:t>valīds;</w:t>
      </w:r>
    </w:p>
    <w:p w14:paraId="6BA6F05E" w14:textId="77777777" w:rsidR="003B5926" w:rsidRDefault="00A96CF8">
      <w:pPr>
        <w:spacing w:after="0"/>
        <w:ind w:left="1800" w:hanging="360"/>
        <w:jc w:val="both"/>
        <w:rPr>
          <w:rFonts w:ascii="Times New Roman" w:eastAsia="Times New Roman" w:hAnsi="Times New Roman" w:cs="Times New Roman"/>
          <w:color w:val="212121"/>
        </w:rPr>
      </w:pPr>
      <w:r>
        <w:rPr>
          <w:rFonts w:ascii="Times New Roman" w:eastAsia="Times New Roman" w:hAnsi="Times New Roman" w:cs="Times New Roman"/>
          <w:color w:val="212121"/>
        </w:rPr>
        <w:t xml:space="preserve">o   Nr. 20 – invalīds (bērniem līdz 18 gadu vecumam, kad invaliditātes grupas netiek noteiktas). </w:t>
      </w:r>
    </w:p>
    <w:p w14:paraId="7E603D6E" w14:textId="77777777" w:rsidR="003B5926" w:rsidRDefault="003B5926">
      <w:pPr>
        <w:spacing w:after="0" w:line="240" w:lineRule="auto"/>
        <w:jc w:val="both"/>
        <w:rPr>
          <w:rFonts w:ascii="Times New Roman" w:eastAsia="Times New Roman" w:hAnsi="Times New Roman" w:cs="Times New Roman"/>
          <w:color w:val="212121"/>
        </w:rPr>
      </w:pPr>
    </w:p>
    <w:p w14:paraId="4D21ABC2" w14:textId="77777777" w:rsidR="003B5926" w:rsidRDefault="003B5926">
      <w:pPr>
        <w:spacing w:after="0" w:line="240" w:lineRule="auto"/>
        <w:jc w:val="both"/>
        <w:rPr>
          <w:rFonts w:ascii="Times New Roman" w:eastAsia="Times New Roman" w:hAnsi="Times New Roman" w:cs="Times New Roman"/>
          <w:color w:val="212121"/>
        </w:rPr>
      </w:pPr>
    </w:p>
    <w:p w14:paraId="1FC702A0" w14:textId="77777777" w:rsidR="003B5926" w:rsidRDefault="00A96CF8">
      <w:pPr>
        <w:spacing w:after="0" w:line="240" w:lineRule="auto"/>
        <w:jc w:val="both"/>
        <w:rPr>
          <w:rFonts w:ascii="Times New Roman" w:eastAsia="Times New Roman" w:hAnsi="Times New Roman" w:cs="Times New Roman"/>
          <w:color w:val="212121"/>
        </w:rPr>
      </w:pPr>
      <w:r>
        <w:rPr>
          <w:rFonts w:ascii="Times New Roman" w:eastAsia="Times New Roman" w:hAnsi="Times New Roman" w:cs="Times New Roman"/>
          <w:color w:val="212121"/>
        </w:rPr>
        <w:t xml:space="preserve">Šāda kontracepcijas nodrošināšana nākama gada budžetā nepārsniegtu 300 000 eiro papildu izdevumu, un novērstu izdevumus, kas saistīti ar </w:t>
      </w:r>
      <w:r>
        <w:rPr>
          <w:rFonts w:ascii="Times New Roman" w:eastAsia="Times New Roman" w:hAnsi="Times New Roman" w:cs="Times New Roman"/>
          <w:color w:val="212121"/>
        </w:rPr>
        <w:t>nevēlamas grūtniecības pārtraukšanu pacientēm līdz 18 gadu vecumam</w:t>
      </w:r>
      <w:r>
        <w:rPr>
          <w:rFonts w:ascii="Times New Roman" w:eastAsia="Times New Roman" w:hAnsi="Times New Roman" w:cs="Times New Roman"/>
          <w:color w:val="212121"/>
          <w:vertAlign w:val="superscript"/>
        </w:rPr>
        <w:footnoteReference w:id="1"/>
      </w:r>
      <w:r>
        <w:rPr>
          <w:rFonts w:ascii="Times New Roman" w:eastAsia="Times New Roman" w:hAnsi="Times New Roman" w:cs="Times New Roman"/>
        </w:rPr>
        <w:t xml:space="preserve"> </w:t>
      </w:r>
      <w:r>
        <w:rPr>
          <w:rFonts w:ascii="Times New Roman" w:eastAsia="Times New Roman" w:hAnsi="Times New Roman" w:cs="Times New Roman"/>
          <w:vertAlign w:val="superscript"/>
        </w:rPr>
        <w:footnoteReference w:id="2"/>
      </w:r>
      <w:r>
        <w:rPr>
          <w:rFonts w:ascii="Times New Roman" w:eastAsia="Times New Roman" w:hAnsi="Times New Roman" w:cs="Times New Roman"/>
          <w:color w:val="212121"/>
        </w:rPr>
        <w:t>.</w:t>
      </w:r>
    </w:p>
    <w:p w14:paraId="30BC831A" w14:textId="77777777" w:rsidR="003B5926" w:rsidRDefault="003B5926">
      <w:pPr>
        <w:spacing w:after="0" w:line="240" w:lineRule="auto"/>
        <w:jc w:val="both"/>
        <w:rPr>
          <w:rFonts w:ascii="Times New Roman" w:eastAsia="Times New Roman" w:hAnsi="Times New Roman" w:cs="Times New Roman"/>
          <w:color w:val="212121"/>
        </w:rPr>
      </w:pPr>
    </w:p>
    <w:p w14:paraId="4AFE4127" w14:textId="77777777" w:rsidR="003B5926" w:rsidRDefault="00A96CF8">
      <w:pPr>
        <w:spacing w:after="0" w:line="240" w:lineRule="auto"/>
        <w:jc w:val="both"/>
        <w:rPr>
          <w:rFonts w:ascii="Times New Roman" w:eastAsia="Times New Roman" w:hAnsi="Times New Roman" w:cs="Times New Roman"/>
          <w:color w:val="212121"/>
        </w:rPr>
      </w:pPr>
      <w:r>
        <w:rPr>
          <w:rFonts w:ascii="Times New Roman" w:eastAsia="Times New Roman" w:hAnsi="Times New Roman" w:cs="Times New Roman"/>
          <w:color w:val="212121"/>
        </w:rPr>
        <w:t>Būtu nepieciešams arī izveidot nākamo gadu plānus kontracepcijas aptveres palielināšanai jaunietēm vecumā līdz 25 gadiem.</w:t>
      </w:r>
    </w:p>
    <w:p w14:paraId="171664AA" w14:textId="77777777" w:rsidR="003B5926" w:rsidRDefault="00A96CF8">
      <w:pPr>
        <w:spacing w:after="0" w:line="240" w:lineRule="auto"/>
        <w:jc w:val="both"/>
        <w:rPr>
          <w:rFonts w:ascii="Times New Roman" w:eastAsia="Times New Roman" w:hAnsi="Times New Roman" w:cs="Times New Roman"/>
          <w:color w:val="212121"/>
        </w:rPr>
      </w:pPr>
      <w:r>
        <w:rPr>
          <w:rFonts w:ascii="Times New Roman" w:eastAsia="Times New Roman" w:hAnsi="Times New Roman" w:cs="Times New Roman"/>
          <w:color w:val="212121"/>
        </w:rPr>
        <w:t> </w:t>
      </w:r>
    </w:p>
    <w:p w14:paraId="51208C06" w14:textId="77777777" w:rsidR="003B5926" w:rsidRDefault="003B5926">
      <w:pPr>
        <w:spacing w:after="0" w:line="240" w:lineRule="auto"/>
        <w:jc w:val="both"/>
        <w:rPr>
          <w:rFonts w:ascii="Times New Roman" w:eastAsia="Times New Roman" w:hAnsi="Times New Roman" w:cs="Times New Roman"/>
          <w:color w:val="212121"/>
        </w:rPr>
      </w:pPr>
    </w:p>
    <w:p w14:paraId="68A899D8" w14:textId="77777777" w:rsidR="003B5926" w:rsidRDefault="00A96CF8">
      <w:pPr>
        <w:spacing w:after="0" w:line="240" w:lineRule="auto"/>
        <w:jc w:val="both"/>
        <w:rPr>
          <w:rFonts w:ascii="Times New Roman" w:eastAsia="Times New Roman" w:hAnsi="Times New Roman" w:cs="Times New Roman"/>
          <w:color w:val="212121"/>
        </w:rPr>
      </w:pPr>
      <w:r>
        <w:rPr>
          <w:rFonts w:ascii="Times New Roman" w:eastAsia="Times New Roman" w:hAnsi="Times New Roman" w:cs="Times New Roman"/>
          <w:color w:val="212121"/>
        </w:rPr>
        <w:t>Cieņā</w:t>
      </w:r>
    </w:p>
    <w:p w14:paraId="2722E13E" w14:textId="77777777" w:rsidR="003B5926" w:rsidRDefault="003B5926">
      <w:pPr>
        <w:spacing w:after="0" w:line="240" w:lineRule="auto"/>
        <w:jc w:val="both"/>
        <w:rPr>
          <w:rFonts w:ascii="Times New Roman" w:eastAsia="Times New Roman" w:hAnsi="Times New Roman" w:cs="Times New Roman"/>
          <w:color w:val="212121"/>
        </w:rPr>
      </w:pPr>
    </w:p>
    <w:p w14:paraId="0027BEF9" w14:textId="77777777" w:rsidR="003B5926" w:rsidRDefault="00A96CF8">
      <w:pPr>
        <w:spacing w:after="0" w:line="360" w:lineRule="auto"/>
        <w:jc w:val="both"/>
        <w:rPr>
          <w:rFonts w:ascii="Times New Roman" w:eastAsia="Times New Roman" w:hAnsi="Times New Roman" w:cs="Times New Roman"/>
          <w:color w:val="212121"/>
        </w:rPr>
      </w:pPr>
      <w:r>
        <w:rPr>
          <w:rFonts w:ascii="Times New Roman" w:eastAsia="Times New Roman" w:hAnsi="Times New Roman" w:cs="Times New Roman"/>
          <w:color w:val="212121"/>
        </w:rPr>
        <w:t>Latvijas Ārstu biedrība</w:t>
      </w:r>
    </w:p>
    <w:p w14:paraId="0FD619D2" w14:textId="77777777" w:rsidR="003B5926" w:rsidRDefault="00A96CF8">
      <w:pPr>
        <w:spacing w:after="0" w:line="360" w:lineRule="auto"/>
        <w:jc w:val="both"/>
        <w:rPr>
          <w:rFonts w:ascii="Times New Roman" w:eastAsia="Times New Roman" w:hAnsi="Times New Roman" w:cs="Times New Roman"/>
          <w:color w:val="212121"/>
        </w:rPr>
      </w:pPr>
      <w:r>
        <w:rPr>
          <w:rFonts w:ascii="Times New Roman" w:eastAsia="Times New Roman" w:hAnsi="Times New Roman" w:cs="Times New Roman"/>
          <w:color w:val="212121"/>
        </w:rPr>
        <w:t>Latvijas Ginekologu un dze</w:t>
      </w:r>
      <w:r>
        <w:rPr>
          <w:rFonts w:ascii="Times New Roman" w:eastAsia="Times New Roman" w:hAnsi="Times New Roman" w:cs="Times New Roman"/>
          <w:color w:val="212121"/>
        </w:rPr>
        <w:t>mdību speciālistu asociācija</w:t>
      </w:r>
    </w:p>
    <w:p w14:paraId="23A94C15" w14:textId="77777777" w:rsidR="003B5926" w:rsidRDefault="00A96CF8">
      <w:pPr>
        <w:spacing w:after="0" w:line="360" w:lineRule="auto"/>
        <w:jc w:val="both"/>
        <w:rPr>
          <w:rFonts w:ascii="Times New Roman" w:eastAsia="Times New Roman" w:hAnsi="Times New Roman" w:cs="Times New Roman"/>
          <w:color w:val="212121"/>
        </w:rPr>
      </w:pPr>
      <w:r>
        <w:rPr>
          <w:rFonts w:ascii="Times New Roman" w:eastAsia="Times New Roman" w:hAnsi="Times New Roman" w:cs="Times New Roman"/>
          <w:color w:val="212121"/>
        </w:rPr>
        <w:t>Latvijas Jauno ārstu asociācija</w:t>
      </w:r>
    </w:p>
    <w:p w14:paraId="30D88BB7" w14:textId="77777777" w:rsidR="003B5926" w:rsidRDefault="00A96CF8">
      <w:pPr>
        <w:spacing w:after="0" w:line="360" w:lineRule="auto"/>
        <w:jc w:val="both"/>
        <w:rPr>
          <w:rFonts w:ascii="Times New Roman" w:eastAsia="Times New Roman" w:hAnsi="Times New Roman" w:cs="Times New Roman"/>
          <w:color w:val="212121"/>
        </w:rPr>
      </w:pPr>
      <w:r>
        <w:rPr>
          <w:rFonts w:ascii="Times New Roman" w:eastAsia="Times New Roman" w:hAnsi="Times New Roman" w:cs="Times New Roman"/>
          <w:color w:val="212121"/>
        </w:rPr>
        <w:t>Latvijas Vecmāšu asociācija</w:t>
      </w:r>
    </w:p>
    <w:p w14:paraId="7E74BF79" w14:textId="77777777" w:rsidR="003B5926" w:rsidRDefault="00A96CF8">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Biedrība “Papardes zieds”</w:t>
      </w:r>
    </w:p>
    <w:p w14:paraId="5FE2768C" w14:textId="77777777" w:rsidR="003B5926" w:rsidRDefault="00A96CF8">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Latvijas Pacientu organizāciju tīkls</w:t>
      </w:r>
    </w:p>
    <w:p w14:paraId="10F27739" w14:textId="5ED50C03" w:rsidR="003B5926" w:rsidRDefault="00A96CF8" w:rsidP="003630E3">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Biedrība “Centrs MARTA”</w:t>
      </w:r>
    </w:p>
    <w:sectPr w:rsidR="003B5926">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4E7E9" w14:textId="77777777" w:rsidR="00A96CF8" w:rsidRDefault="00A96CF8">
      <w:pPr>
        <w:spacing w:after="0" w:line="240" w:lineRule="auto"/>
      </w:pPr>
      <w:r>
        <w:separator/>
      </w:r>
    </w:p>
  </w:endnote>
  <w:endnote w:type="continuationSeparator" w:id="0">
    <w:p w14:paraId="7F6E33A8" w14:textId="77777777" w:rsidR="00A96CF8" w:rsidRDefault="00A96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D6C814C-7613-4A92-A83F-FD91526C84EB}"/>
  </w:font>
  <w:font w:name="Aptos">
    <w:altName w:val="Calibri"/>
    <w:charset w:val="00"/>
    <w:family w:val="swiss"/>
    <w:pitch w:val="variable"/>
    <w:sig w:usb0="20000287" w:usb1="00000003" w:usb2="00000000" w:usb3="00000000" w:csb0="0000019F" w:csb1="00000000"/>
    <w:embedRegular r:id="rId2" w:fontKey="{F548C3E6-5373-41DF-A6D8-5739406F9FB2}"/>
    <w:embedBold r:id="rId3" w:fontKey="{5D000F6A-5C2D-4809-9743-6E2A27520586}"/>
  </w:font>
  <w:font w:name="Calibri">
    <w:panose1 w:val="020F0502020204030204"/>
    <w:charset w:val="00"/>
    <w:family w:val="swiss"/>
    <w:pitch w:val="variable"/>
    <w:sig w:usb0="E4002EFF" w:usb1="C200247B" w:usb2="00000009" w:usb3="00000000" w:csb0="000001FF" w:csb1="00000000"/>
    <w:embedRegular r:id="rId4" w:fontKey="{9C374F41-A839-4439-814A-313FDA6689B6}"/>
  </w:font>
  <w:font w:name="Georgia">
    <w:panose1 w:val="02040502050405020303"/>
    <w:charset w:val="00"/>
    <w:family w:val="roman"/>
    <w:pitch w:val="variable"/>
    <w:sig w:usb0="00000287" w:usb1="00000000" w:usb2="00000000" w:usb3="00000000" w:csb0="0000009F" w:csb1="00000000"/>
    <w:embedRegular r:id="rId5" w:fontKey="{7F8CAADD-18F6-4F62-B485-0AD86FCA20C8}"/>
    <w:embedItalic r:id="rId6" w:fontKey="{90F19E14-DB9B-439B-A6F7-D4310C60EFB9}"/>
  </w:font>
  <w:font w:name="Calibri Light">
    <w:panose1 w:val="020F0302020204030204"/>
    <w:charset w:val="00"/>
    <w:family w:val="swiss"/>
    <w:pitch w:val="variable"/>
    <w:sig w:usb0="E4002EFF" w:usb1="C200247B" w:usb2="00000009" w:usb3="00000000" w:csb0="000001FF" w:csb1="00000000"/>
    <w:embedRegular r:id="rId7" w:fontKey="{BB8B206C-A52C-43AE-AF69-DFEB706D9F4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43521" w14:textId="77777777" w:rsidR="00A96CF8" w:rsidRDefault="00A96CF8">
      <w:pPr>
        <w:spacing w:after="0" w:line="240" w:lineRule="auto"/>
      </w:pPr>
      <w:r>
        <w:separator/>
      </w:r>
    </w:p>
  </w:footnote>
  <w:footnote w:type="continuationSeparator" w:id="0">
    <w:p w14:paraId="07406AEF" w14:textId="77777777" w:rsidR="00A96CF8" w:rsidRDefault="00A96CF8">
      <w:pPr>
        <w:spacing w:after="0" w:line="240" w:lineRule="auto"/>
      </w:pPr>
      <w:r>
        <w:continuationSeparator/>
      </w:r>
    </w:p>
  </w:footnote>
  <w:footnote w:id="1">
    <w:p w14:paraId="03953101" w14:textId="77777777" w:rsidR="003B5926" w:rsidRDefault="00A96CF8">
      <w:pPr>
        <w:spacing w:after="0" w:line="240" w:lineRule="auto"/>
        <w:rPr>
          <w:sz w:val="20"/>
          <w:szCs w:val="20"/>
        </w:rPr>
      </w:pPr>
      <w:r>
        <w:rPr>
          <w:vertAlign w:val="superscript"/>
        </w:rPr>
        <w:footnoteRef/>
      </w:r>
      <w:hyperlink r:id="rId1">
        <w:r>
          <w:rPr>
            <w:rFonts w:ascii="Times New Roman" w:eastAsia="Times New Roman" w:hAnsi="Times New Roman" w:cs="Times New Roman"/>
            <w:color w:val="1155CC"/>
            <w:u w:val="single"/>
          </w:rPr>
          <w:t>https://www.ecdc.europa.eu/sites/default/files/documents/strategies-to-control-STIs.pdf</w:t>
        </w:r>
      </w:hyperlink>
    </w:p>
  </w:footnote>
  <w:footnote w:id="2">
    <w:p w14:paraId="0D85A365" w14:textId="77777777" w:rsidR="003B5926" w:rsidRDefault="00A96CF8">
      <w:pPr>
        <w:spacing w:after="0" w:line="240" w:lineRule="auto"/>
        <w:rPr>
          <w:rFonts w:ascii="Times New Roman" w:eastAsia="Times New Roman" w:hAnsi="Times New Roman" w:cs="Times New Roman"/>
          <w:color w:val="1155CC"/>
          <w:u w:val="single"/>
        </w:rPr>
      </w:pPr>
      <w:r>
        <w:rPr>
          <w:vertAlign w:val="superscript"/>
        </w:rPr>
        <w:footnoteRef/>
      </w:r>
      <w:r>
        <w:rPr>
          <w:sz w:val="20"/>
          <w:szCs w:val="20"/>
        </w:rPr>
        <w:t xml:space="preserve"> </w:t>
      </w:r>
      <w:hyperlink r:id="rId2">
        <w:r>
          <w:rPr>
            <w:rFonts w:ascii="Times New Roman" w:eastAsia="Times New Roman" w:hAnsi="Times New Roman" w:cs="Times New Roman"/>
            <w:color w:val="1155CC"/>
            <w:u w:val="single"/>
          </w:rPr>
          <w:t>https://iris.who.int/bitstream/handle/10665/255862/WHO-RHR-17.10-eng.pdf</w:t>
        </w:r>
      </w:hyperlink>
    </w:p>
    <w:p w14:paraId="5ADA1DBA" w14:textId="77777777" w:rsidR="003B5926" w:rsidRDefault="003B5926">
      <w:pPr>
        <w:spacing w:after="0" w:line="240" w:lineRule="auto"/>
        <w:rPr>
          <w:rFonts w:ascii="Times New Roman" w:eastAsia="Times New Roman" w:hAnsi="Times New Roman" w:cs="Times New Roma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E3725"/>
    <w:multiLevelType w:val="multilevel"/>
    <w:tmpl w:val="720A6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9162462"/>
    <w:multiLevelType w:val="multilevel"/>
    <w:tmpl w:val="1388AFCE"/>
    <w:lvl w:ilvl="0">
      <w:start w:val="2"/>
      <w:numFmt w:val="bullet"/>
      <w:lvlText w:val="-"/>
      <w:lvlJc w:val="left"/>
      <w:pPr>
        <w:ind w:left="72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926"/>
    <w:rsid w:val="001223E1"/>
    <w:rsid w:val="00284D86"/>
    <w:rsid w:val="003630E3"/>
    <w:rsid w:val="003B5926"/>
    <w:rsid w:val="003D5C4F"/>
    <w:rsid w:val="005D58BA"/>
    <w:rsid w:val="006E4679"/>
    <w:rsid w:val="00946EFE"/>
    <w:rsid w:val="009854CC"/>
    <w:rsid w:val="00A96CF8"/>
    <w:rsid w:val="00E270A9"/>
    <w:rsid w:val="00FF5A0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B5267"/>
  <w15:docId w15:val="{EF1EEFC5-034A-409E-9995-1BDF69082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lv" w:eastAsia="lv-LV"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7BF"/>
    <w:rPr>
      <w:rFonts w:cs="Calibr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207BF"/>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iris.who.int/bitstream/handle/10665/255862/WHO-RHR-17.10-eng.pdf" TargetMode="External"/><Relationship Id="rId1" Type="http://schemas.openxmlformats.org/officeDocument/2006/relationships/hyperlink" Target="https://www.ecdc.europa.eu/sites/default/files/documents/strategies-to-control-STI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jCncKueQTC5n271a+Qj9sa799A==">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3798</Words>
  <Characters>2166</Characters>
  <Application>Microsoft Office Word</Application>
  <DocSecurity>0</DocSecurity>
  <Lines>18</Lines>
  <Paragraphs>11</Paragraphs>
  <ScaleCrop>false</ScaleCrop>
  <Company/>
  <LinksUpToDate>false</LinksUpToDate>
  <CharactersWithSpaces>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Maira</dc:creator>
  <cp:lastModifiedBy>Inese Bogdanova</cp:lastModifiedBy>
  <cp:revision>2</cp:revision>
  <cp:lastPrinted>2024-06-18T13:38:00Z</cp:lastPrinted>
  <dcterms:created xsi:type="dcterms:W3CDTF">2024-06-21T09:07:00Z</dcterms:created>
  <dcterms:modified xsi:type="dcterms:W3CDTF">2024-06-21T09:07:00Z</dcterms:modified>
</cp:coreProperties>
</file>