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D9753" w14:textId="08FA14EA" w:rsidR="0041298B" w:rsidRPr="004A7C10" w:rsidRDefault="006E26D3">
      <w:pPr>
        <w:pStyle w:val="Heading1"/>
        <w:spacing w:before="120"/>
        <w:jc w:val="center"/>
      </w:pPr>
      <w:bookmarkStart w:id="0" w:name="_gjdgxs" w:colFirst="0" w:colLast="0"/>
      <w:bookmarkEnd w:id="0"/>
      <w:r w:rsidRPr="004A7C10">
        <w:t>Intensīvās terapijas ierobežotu resursu izmantošana ārkārtas situācijas COVID-19 pandēmijas laikā</w:t>
      </w:r>
    </w:p>
    <w:p w14:paraId="39631D6D" w14:textId="77777777" w:rsidR="0041298B" w:rsidRPr="004A7C10" w:rsidRDefault="006E26D3">
      <w:pPr>
        <w:pStyle w:val="Heading1"/>
        <w:spacing w:before="120"/>
        <w:jc w:val="center"/>
        <w:rPr>
          <w:sz w:val="28"/>
          <w:szCs w:val="28"/>
          <w:highlight w:val="yellow"/>
        </w:rPr>
      </w:pPr>
      <w:r w:rsidRPr="004A7C10">
        <w:rPr>
          <w:sz w:val="28"/>
          <w:szCs w:val="28"/>
        </w:rPr>
        <w:t xml:space="preserve">(intensīvi ārstējamu pacientu </w:t>
      </w:r>
      <w:proofErr w:type="spellStart"/>
      <w:r w:rsidRPr="004A7C10">
        <w:rPr>
          <w:sz w:val="28"/>
          <w:szCs w:val="28"/>
        </w:rPr>
        <w:t>prioritizācija</w:t>
      </w:r>
      <w:proofErr w:type="spellEnd"/>
      <w:r w:rsidRPr="004A7C10">
        <w:rPr>
          <w:sz w:val="28"/>
          <w:szCs w:val="28"/>
        </w:rPr>
        <w:t>)</w:t>
      </w:r>
    </w:p>
    <w:p w14:paraId="2A6CA302" w14:textId="77777777" w:rsidR="0041298B" w:rsidRPr="004A7C10" w:rsidRDefault="0041298B"/>
    <w:p w14:paraId="24B65759" w14:textId="77777777" w:rsidR="0041298B" w:rsidRPr="004A7C10" w:rsidRDefault="006E26D3">
      <w:pPr>
        <w:pStyle w:val="Heading2"/>
        <w:rPr>
          <w:b w:val="0"/>
        </w:rPr>
      </w:pPr>
      <w:r w:rsidRPr="004A7C10">
        <w:t>1. Ievads</w:t>
      </w:r>
    </w:p>
    <w:p w14:paraId="0241C016" w14:textId="767A5B52" w:rsidR="0041298B" w:rsidRPr="004A7C10" w:rsidRDefault="006E26D3">
      <w:pPr>
        <w:spacing w:line="358" w:lineRule="auto"/>
        <w:ind w:firstLine="566"/>
        <w:jc w:val="both"/>
        <w:rPr>
          <w:sz w:val="20"/>
          <w:szCs w:val="20"/>
        </w:rPr>
      </w:pPr>
      <w:r w:rsidRPr="004A7C10">
        <w:t>Ņemot vērā, ka Covid-19 pandēmijas laikā intensīvās terapijas (turpmāk - IT) medicīnas resursu pieprasījums var pārsniegt pieejamo intensīvās terapijas nodaļu (turpmāk – ITN) hospitalizācijas un ārstniecības kapacitāti, Latvijas Anesteziologu un reanimatologu asociācija un Latvijas Ārstu biedrība</w:t>
      </w:r>
      <w:r w:rsidRPr="004A7C10">
        <w:rPr>
          <w:color w:val="FF0000"/>
        </w:rPr>
        <w:t xml:space="preserve"> </w:t>
      </w:r>
      <w:r w:rsidRPr="004A7C10">
        <w:t>ir izstrādājusi šo resursu sadales principus krīzes apstākļiem. IT resursu izmantošanas principi COVID-19 pandēmijas</w:t>
      </w:r>
      <w:r w:rsidR="00754A04" w:rsidRPr="004A7C10">
        <w:t xml:space="preserve"> laikā izsludinātās</w:t>
      </w:r>
      <w:r w:rsidRPr="004A7C10">
        <w:t xml:space="preserve"> ārkārtas situācijas apstākļos balstīti uz starptautiskos medicīnas ētikas dokumentos iekļautajām pamata normām, kā arī uz Itālijas, Austrijas, Vācijas, Lielbritānijas, Šveices un ASV pieredzi un rekomendācijām (skat. izmantoto literatūru).</w:t>
      </w:r>
    </w:p>
    <w:p w14:paraId="2F72BBCC" w14:textId="77777777" w:rsidR="0041298B" w:rsidRPr="004A7C10" w:rsidRDefault="0041298B">
      <w:pPr>
        <w:spacing w:line="16" w:lineRule="auto"/>
      </w:pPr>
    </w:p>
    <w:p w14:paraId="5F9B569A" w14:textId="4D57F6F1" w:rsidR="0041298B" w:rsidRPr="004A7C10" w:rsidRDefault="006E26D3">
      <w:pPr>
        <w:spacing w:line="358" w:lineRule="auto"/>
        <w:ind w:firstLine="566"/>
        <w:jc w:val="both"/>
      </w:pPr>
      <w:r w:rsidRPr="004A7C10">
        <w:t xml:space="preserve">Ārkārtas situācijā, kurā ir būtiski ierobežota medicīnas resursu pieejamība, tajā skaitā </w:t>
      </w:r>
      <w:r w:rsidR="009B01A2">
        <w:t>i</w:t>
      </w:r>
      <w:r w:rsidR="009B01A2" w:rsidRPr="004A7C10">
        <w:t xml:space="preserve">ntensīvās </w:t>
      </w:r>
      <w:r w:rsidRPr="004A7C10">
        <w:t>ter</w:t>
      </w:r>
      <w:r w:rsidR="00754A04" w:rsidRPr="004A7C10">
        <w:t>a</w:t>
      </w:r>
      <w:r w:rsidRPr="004A7C10">
        <w:t>pijas resursi, veselības aprūpes darbinieku rīcība ir jāturpina balstīt uz medicīnas ētikas pamatprincipiem, īstenojot tos atbilstoši situācijai un cenšoties glābt pēc iespējas vairāk dzīvību. Veselības aprūpes darbinieku rīcības pamatā ir cieņa pret dzīvību, nodrošinot veselības aprūpi neatkarīgi no pacienta tautības, rases, ticības, vecuma, dzimuma, seksuālās orientācijas, politiskiem uzskatiem un stāvokļa sabiedrībā</w:t>
      </w:r>
      <w:r w:rsidR="009B01A2">
        <w:t>,</w:t>
      </w:r>
      <w:r w:rsidR="009D2142">
        <w:t xml:space="preserve"> </w:t>
      </w:r>
      <w:r w:rsidRPr="004A7C10">
        <w:t>nepieļaujot jebkāda veida diskrimināciju.</w:t>
      </w:r>
    </w:p>
    <w:p w14:paraId="65564C73" w14:textId="42A94A9A" w:rsidR="0041298B" w:rsidRPr="004A7C10" w:rsidRDefault="006E26D3">
      <w:pPr>
        <w:spacing w:line="358" w:lineRule="auto"/>
        <w:ind w:firstLine="566"/>
        <w:jc w:val="both"/>
        <w:rPr>
          <w:color w:val="000000" w:themeColor="text1"/>
          <w:highlight w:val="yellow"/>
        </w:rPr>
      </w:pPr>
      <w:r w:rsidRPr="004A7C10">
        <w:rPr>
          <w:color w:val="000000" w:themeColor="text1"/>
        </w:rPr>
        <w:t xml:space="preserve">Latvijas </w:t>
      </w:r>
      <w:r w:rsidR="009B01A2">
        <w:rPr>
          <w:color w:val="000000" w:themeColor="text1"/>
        </w:rPr>
        <w:t>v</w:t>
      </w:r>
      <w:r w:rsidRPr="004A7C10">
        <w:rPr>
          <w:color w:val="000000" w:themeColor="text1"/>
        </w:rPr>
        <w:t xml:space="preserve">aldībai un </w:t>
      </w:r>
      <w:r w:rsidR="009B01A2">
        <w:rPr>
          <w:color w:val="000000" w:themeColor="text1"/>
        </w:rPr>
        <w:t xml:space="preserve">valsts </w:t>
      </w:r>
      <w:r w:rsidRPr="004A7C10">
        <w:rPr>
          <w:color w:val="000000" w:themeColor="text1"/>
        </w:rPr>
        <w:t xml:space="preserve">veselības aprūpes sistēmai ir pienākums pēc iespējas labāk nodrošināt visiem atbilstošu veselības aprūpi. Tomēr tas var nebūt iespējams katastrofu vai pandēmiju laikā, kad veselības resursi, iespējams, būs ierobežoti. Prioritāšu noteikšana un resursu normēšana šajā kontekstā nozīmē traģisku izvēli, taču šīs traģiskās izvēles var ētiski pamatot. Šādi lēmumi var ietvert piekļuvi slimnīcām, ventilatoriem, vakcīnām un zālēm. </w:t>
      </w:r>
    </w:p>
    <w:p w14:paraId="3ABFD74E" w14:textId="77777777" w:rsidR="0041298B" w:rsidRPr="004A7C10" w:rsidRDefault="0041298B">
      <w:pPr>
        <w:spacing w:line="14" w:lineRule="auto"/>
        <w:rPr>
          <w:b/>
        </w:rPr>
      </w:pPr>
    </w:p>
    <w:p w14:paraId="6CB3AB04" w14:textId="3AD878F4" w:rsidR="0041298B" w:rsidRPr="009A0F27" w:rsidRDefault="00704E9B" w:rsidP="009A0F27">
      <w:pPr>
        <w:spacing w:line="354" w:lineRule="auto"/>
        <w:ind w:firstLine="566"/>
        <w:jc w:val="both"/>
        <w:rPr>
          <w:b/>
        </w:rPr>
      </w:pPr>
      <w:r w:rsidRPr="009A0F27">
        <w:rPr>
          <w:b/>
          <w:i/>
          <w:iCs/>
        </w:rPr>
        <w:t>Šīs rekomendācijas ir piemērojamas tikai Covid-19 pandēmijas laikā ārkārtas situācijā, kad</w:t>
      </w:r>
      <w:r w:rsidR="009A0F27" w:rsidRPr="009A0F27">
        <w:rPr>
          <w:b/>
          <w:i/>
          <w:iCs/>
        </w:rPr>
        <w:t xml:space="preserve"> </w:t>
      </w:r>
      <w:r w:rsidRPr="009A0F27">
        <w:rPr>
          <w:b/>
          <w:i/>
          <w:iCs/>
        </w:rPr>
        <w:t>aizņemto ITN gultas vietu skaits ir sasniedzis līmeni tuvu izsīkumam vai pārsniedz 90% no kopējā, tajā skaitā izvērstā, ITN/MPV gultas vietu skaita valstī.</w:t>
      </w:r>
      <w:r>
        <w:rPr>
          <w:bCs/>
        </w:rPr>
        <w:t xml:space="preserve"> </w:t>
      </w:r>
    </w:p>
    <w:p w14:paraId="43B4B6EF" w14:textId="402A6134" w:rsidR="0041298B" w:rsidRPr="004A7C10" w:rsidRDefault="006E26D3">
      <w:pPr>
        <w:spacing w:line="354" w:lineRule="auto"/>
        <w:ind w:firstLine="566"/>
        <w:jc w:val="both"/>
      </w:pPr>
      <w:r w:rsidRPr="004A7C10">
        <w:t xml:space="preserve">IT gultas vietu skaitu valstī uzskaita un </w:t>
      </w:r>
      <w:proofErr w:type="spellStart"/>
      <w:r w:rsidRPr="004A7C10">
        <w:t>monitorē</w:t>
      </w:r>
      <w:proofErr w:type="spellEnd"/>
      <w:r w:rsidRPr="004A7C10">
        <w:t xml:space="preserve"> NMP dienests, kas laicīgi brīdina Valsts Operatīvo medicīnisko komisiju (tālāk tekstā – VOMK) par situāciju, kad aizņemto IT gultu skaits </w:t>
      </w:r>
      <w:r w:rsidRPr="004A7C10">
        <w:lastRenderedPageBreak/>
        <w:t xml:space="preserve">ir </w:t>
      </w:r>
      <w:r w:rsidR="00754A04" w:rsidRPr="004A7C10">
        <w:t xml:space="preserve">gandrīz sasniedzis maksimālo </w:t>
      </w:r>
      <w:r w:rsidRPr="004A7C10">
        <w:t xml:space="preserve">ārstēšanas kapacitāti valstī. VOMK pieņem lēmumu par ierobežotu IT resursu izmantošanas principu izmantošanu pacientu </w:t>
      </w:r>
      <w:proofErr w:type="spellStart"/>
      <w:r w:rsidRPr="004A7C10">
        <w:t>prioritizācijai</w:t>
      </w:r>
      <w:proofErr w:type="spellEnd"/>
      <w:r w:rsidRPr="004A7C10">
        <w:t xml:space="preserve"> valstī Covid-19 pandēmijas laikā. NMP dienests, pamatojoties uz VOMK</w:t>
      </w:r>
      <w:r w:rsidR="00754A04" w:rsidRPr="004A7C10">
        <w:t xml:space="preserve"> </w:t>
      </w:r>
      <w:r w:rsidRPr="004A7C10">
        <w:t>lēmumu</w:t>
      </w:r>
      <w:r w:rsidR="009B01A2">
        <w:t>,</w:t>
      </w:r>
      <w:r w:rsidRPr="004A7C10">
        <w:t xml:space="preserve"> laicīgi brīdina Latvijas slimnīcas un nodrošina pacientu pārvešanu no vienas ITN uz citu. Situācijā, kad nepieciešama pacienta pārvešana no vienas ITN uz citu pārslodzes dēļ, ārstniecības iestādei, kurā ir nepieciešamo resursa pieejamība, nav tiesību atteikties no pacienta pieņemšanas aprūpei. </w:t>
      </w:r>
    </w:p>
    <w:p w14:paraId="10120D4C" w14:textId="57E3FB45" w:rsidR="0041298B" w:rsidRPr="004A7C10" w:rsidRDefault="006E26D3" w:rsidP="00754A04">
      <w:pPr>
        <w:spacing w:line="354" w:lineRule="auto"/>
        <w:ind w:firstLine="566"/>
        <w:jc w:val="both"/>
      </w:pPr>
      <w:r w:rsidRPr="004A7C10">
        <w:rPr>
          <w:b/>
        </w:rPr>
        <w:t xml:space="preserve">Lēmumus par ierobežotu IT resursu sadali un </w:t>
      </w:r>
      <w:proofErr w:type="spellStart"/>
      <w:r w:rsidRPr="004A7C10">
        <w:rPr>
          <w:b/>
        </w:rPr>
        <w:t>prioritizēšanu</w:t>
      </w:r>
      <w:proofErr w:type="spellEnd"/>
      <w:r w:rsidRPr="004A7C10">
        <w:rPr>
          <w:b/>
        </w:rPr>
        <w:t xml:space="preserve"> konkrētiem pacientiem/pacientam pieņem ārstu konsilijs </w:t>
      </w:r>
      <w:r w:rsidRPr="004A7C10">
        <w:t>(ne mazāk</w:t>
      </w:r>
      <w:r w:rsidRPr="004A7C10">
        <w:rPr>
          <w:b/>
        </w:rPr>
        <w:t xml:space="preserve"> </w:t>
      </w:r>
      <w:r w:rsidRPr="004A7C10">
        <w:t>kā triju ārstu apspriede, no kuriem vismaz viens ir anesteziologs - reanimatologs), lai precizētu diagnozi, sagaidāmo prognozi un turpmāko ārstēšanas taktiku, izvēli pamatojot atbilstoši konkrētai situācijai un to dokumentējot.</w:t>
      </w:r>
    </w:p>
    <w:p w14:paraId="1F94E238" w14:textId="77777777" w:rsidR="0041298B" w:rsidRPr="00AC5696" w:rsidRDefault="006E26D3">
      <w:pPr>
        <w:pStyle w:val="Heading2"/>
        <w:rPr>
          <w:rFonts w:cs="Times New Roman"/>
        </w:rPr>
      </w:pPr>
      <w:r w:rsidRPr="00AC5696">
        <w:rPr>
          <w:rFonts w:cs="Times New Roman"/>
        </w:rPr>
        <w:t>2. IT resursu sadales principi</w:t>
      </w:r>
    </w:p>
    <w:p w14:paraId="2DB74E5E" w14:textId="6E249415" w:rsidR="0041298B" w:rsidRPr="004A7C10" w:rsidRDefault="006E26D3">
      <w:pPr>
        <w:spacing w:line="360" w:lineRule="auto"/>
        <w:jc w:val="both"/>
      </w:pPr>
      <w:r w:rsidRPr="004A7C10">
        <w:t xml:space="preserve">Lēmumi par ierobežotu resursu sadali dzīvībai bīstamās situācijās skar iesaistīto pacientu </w:t>
      </w:r>
      <w:proofErr w:type="spellStart"/>
      <w:r w:rsidR="004A7C10" w:rsidRPr="004A7C10">
        <w:t>pamattiesības</w:t>
      </w:r>
      <w:proofErr w:type="spellEnd"/>
      <w:r w:rsidRPr="004A7C10">
        <w:t xml:space="preserve">. Lai īstenotu taisnīgumu un nepieļautu diskrimināciju, lēmumi par pacientu </w:t>
      </w:r>
      <w:proofErr w:type="spellStart"/>
      <w:r w:rsidRPr="004A7C10">
        <w:t>prioritizēšanu</w:t>
      </w:r>
      <w:proofErr w:type="spellEnd"/>
      <w:r w:rsidRPr="004A7C10">
        <w:t>, dzīvību uzturošo ārstniecības metožu nepielietošanu, ierobežošanu vai atcelšanu visās slimnīcās ir jāpieņem, balstoties uz vienādiem principiem:</w:t>
      </w:r>
    </w:p>
    <w:p w14:paraId="6C4645AF" w14:textId="7D00FA52" w:rsidR="0041298B" w:rsidRPr="004A7C10" w:rsidRDefault="006E26D3">
      <w:pPr>
        <w:numPr>
          <w:ilvl w:val="0"/>
          <w:numId w:val="9"/>
        </w:numPr>
        <w:spacing w:line="360" w:lineRule="auto"/>
        <w:ind w:left="714" w:hanging="357"/>
        <w:jc w:val="both"/>
      </w:pPr>
      <w:r w:rsidRPr="004A7C10">
        <w:t xml:space="preserve">ITN </w:t>
      </w:r>
      <w:proofErr w:type="spellStart"/>
      <w:r w:rsidRPr="004A7C10">
        <w:t>stacionēšanas</w:t>
      </w:r>
      <w:proofErr w:type="spellEnd"/>
      <w:r w:rsidRPr="004A7C10">
        <w:t xml:space="preserve"> kritēriji ārkārtas situācijā attiecas uz visiem pacientiem, kuriem var būt nepieciešama IT;</w:t>
      </w:r>
    </w:p>
    <w:p w14:paraId="5EEC4D19" w14:textId="50C9D005" w:rsidR="0041298B" w:rsidRPr="004A7C10" w:rsidRDefault="006E26D3">
      <w:pPr>
        <w:numPr>
          <w:ilvl w:val="0"/>
          <w:numId w:val="9"/>
        </w:numPr>
        <w:spacing w:line="360" w:lineRule="auto"/>
        <w:ind w:left="714" w:hanging="357"/>
        <w:jc w:val="both"/>
      </w:pPr>
      <w:r w:rsidRPr="004A7C10">
        <w:t>Iestājoties ierobežotas resursu pieejamības situācijai, lēmumus par pacientu ārstēšanas uzsākšanu</w:t>
      </w:r>
      <w:r w:rsidR="00754A04" w:rsidRPr="004A7C10">
        <w:t xml:space="preserve"> </w:t>
      </w:r>
      <w:r w:rsidRPr="004A7C10">
        <w:t>pieņem, izvērtējot pacientu IT uzsākšanas mērķtiecību</w:t>
      </w:r>
      <w:r w:rsidR="00754A04" w:rsidRPr="004A7C10">
        <w:t xml:space="preserve"> </w:t>
      </w:r>
      <w:r w:rsidRPr="004A7C10">
        <w:t>-</w:t>
      </w:r>
      <w:r w:rsidR="00754A04" w:rsidRPr="004A7C10">
        <w:t xml:space="preserve"> </w:t>
      </w:r>
      <w:proofErr w:type="spellStart"/>
      <w:r w:rsidRPr="004A7C10">
        <w:t>stacionēšana</w:t>
      </w:r>
      <w:proofErr w:type="spellEnd"/>
      <w:r w:rsidRPr="004A7C10">
        <w:t xml:space="preserve"> ITN balstīta uz slimības smaguma pakāpi, blakus slimību klātbūtni, citu orgānu mazspēju un tās novēršamību. </w:t>
      </w:r>
    </w:p>
    <w:p w14:paraId="2A56A21B" w14:textId="0C51E963" w:rsidR="0041298B" w:rsidRPr="004A7C10" w:rsidRDefault="006E26D3">
      <w:pPr>
        <w:numPr>
          <w:ilvl w:val="0"/>
          <w:numId w:val="9"/>
        </w:numPr>
        <w:spacing w:line="360" w:lineRule="auto"/>
        <w:ind w:left="714" w:hanging="357"/>
        <w:jc w:val="both"/>
      </w:pPr>
      <w:r w:rsidRPr="004A7C10">
        <w:t xml:space="preserve">Attiecībā uz uzņemšanu ITN vislielākā prioritāte ir jāpiešķir iespējami lielākam pacientu skaitam, kuru prognoze attiecībā uz izrakstīšanos no slimnīcas pēc atrašanās intensīvās terapijas nodaļā ir laba, t.i., pacienti, kuri no izmantotās intensīvās terapijas gūs vislielāko labumu. Princips “kas pirmais nāk, tas pirmais saņem” nav spēkā. </w:t>
      </w:r>
    </w:p>
    <w:p w14:paraId="5895C078" w14:textId="21EE0073" w:rsidR="0041298B" w:rsidRPr="009A0F27" w:rsidRDefault="006E26D3">
      <w:pPr>
        <w:numPr>
          <w:ilvl w:val="0"/>
          <w:numId w:val="9"/>
        </w:numPr>
        <w:spacing w:line="360" w:lineRule="auto"/>
        <w:ind w:left="714" w:hanging="357"/>
        <w:jc w:val="both"/>
        <w:rPr>
          <w:strike/>
        </w:rPr>
      </w:pPr>
      <w:r w:rsidRPr="009A0F27">
        <w:t xml:space="preserve">Vecums, invaliditāte vai </w:t>
      </w:r>
      <w:proofErr w:type="spellStart"/>
      <w:r w:rsidRPr="009A0F27">
        <w:t>demence</w:t>
      </w:r>
      <w:proofErr w:type="spellEnd"/>
      <w:r w:rsidRPr="009A0F27">
        <w:t xml:space="preserve"> paši par sevi nav </w:t>
      </w:r>
      <w:r w:rsidR="00EE5365" w:rsidRPr="009A0F27">
        <w:t>piemērojami</w:t>
      </w:r>
      <w:r w:rsidRPr="009A0F27">
        <w:t xml:space="preserve"> kā kritēriji. </w:t>
      </w:r>
    </w:p>
    <w:p w14:paraId="69C62101" w14:textId="481AAB3C" w:rsidR="0041298B" w:rsidRPr="004A7C10" w:rsidRDefault="006E26D3">
      <w:pPr>
        <w:numPr>
          <w:ilvl w:val="0"/>
          <w:numId w:val="9"/>
        </w:numPr>
        <w:spacing w:line="360" w:lineRule="auto"/>
        <w:ind w:left="714" w:right="20" w:hanging="357"/>
        <w:jc w:val="both"/>
      </w:pPr>
      <w:r w:rsidRPr="004A7C10">
        <w:t>Pieņemot lēmumu turpināt tikai paliatīvo terapiju, jāņem vērā konservatīvas ārstēšanas stratēģijas bez mākslīgās plaušu ventilācijas, nodrošinot individuāli piemērotu paliatīvo terapiju un miršanas procesu tam vislabāk piemērotajā slimnīcas nodaļā.</w:t>
      </w:r>
    </w:p>
    <w:p w14:paraId="70ED1C12" w14:textId="4CCE0A85" w:rsidR="0041298B" w:rsidRPr="004A7C10" w:rsidRDefault="0053067E" w:rsidP="009D2142">
      <w:pPr>
        <w:pBdr>
          <w:top w:val="nil"/>
          <w:left w:val="nil"/>
          <w:bottom w:val="nil"/>
          <w:right w:val="nil"/>
          <w:between w:val="nil"/>
        </w:pBdr>
        <w:spacing w:line="332" w:lineRule="auto"/>
        <w:ind w:left="709" w:right="20" w:hanging="425"/>
        <w:jc w:val="both"/>
      </w:pPr>
      <w:r>
        <w:rPr>
          <w:color w:val="000000"/>
        </w:rPr>
        <w:lastRenderedPageBreak/>
        <w:t>6</w:t>
      </w:r>
      <w:r w:rsidR="009B01A2">
        <w:rPr>
          <w:color w:val="000000"/>
        </w:rPr>
        <w:t xml:space="preserve">. </w:t>
      </w:r>
      <w:r w:rsidR="006E26D3" w:rsidRPr="004A7C10">
        <w:rPr>
          <w:color w:val="000000"/>
        </w:rPr>
        <w:t xml:space="preserve">Ja pacientam tiek atteikta ievietošana ITN, tostarp </w:t>
      </w:r>
      <w:r w:rsidR="00754A04" w:rsidRPr="004A7C10">
        <w:rPr>
          <w:color w:val="000000"/>
        </w:rPr>
        <w:t xml:space="preserve">MPV, </w:t>
      </w:r>
      <w:r w:rsidR="006E26D3" w:rsidRPr="004A7C10">
        <w:rPr>
          <w:color w:val="000000"/>
        </w:rPr>
        <w:t xml:space="preserve">ārstiem ir pienākums lēmumu izskaidrot pacientam vai </w:t>
      </w:r>
      <w:r w:rsidR="006E26D3" w:rsidRPr="009A0F27">
        <w:rPr>
          <w:color w:val="000000"/>
        </w:rPr>
        <w:t>tuviniekiem</w:t>
      </w:r>
      <w:r w:rsidR="006E26D3" w:rsidRPr="004A7C10">
        <w:rPr>
          <w:color w:val="000000"/>
        </w:rPr>
        <w:t xml:space="preserve"> atbilstoši Pacientu tiesību likumam, kā arī pamatojumu fiksēt pacienta medicīniskajos dokumentos, ko paraksta visi kons</w:t>
      </w:r>
      <w:r w:rsidR="00754A04" w:rsidRPr="004A7C10">
        <w:rPr>
          <w:color w:val="000000"/>
        </w:rPr>
        <w:t>i</w:t>
      </w:r>
      <w:r w:rsidR="006E26D3" w:rsidRPr="004A7C10">
        <w:rPr>
          <w:color w:val="000000"/>
        </w:rPr>
        <w:t>lija dalībnieki.</w:t>
      </w:r>
      <w:r w:rsidR="009A0F27">
        <w:rPr>
          <w:color w:val="000000"/>
        </w:rPr>
        <w:t xml:space="preserve"> </w:t>
      </w:r>
      <w:r w:rsidR="009A0F27" w:rsidRPr="009A0F27">
        <w:rPr>
          <w:i/>
          <w:iCs/>
        </w:rPr>
        <w:t xml:space="preserve">Ja pacientam nav tuvinieku, tad </w:t>
      </w:r>
      <w:r>
        <w:rPr>
          <w:i/>
          <w:iCs/>
        </w:rPr>
        <w:t xml:space="preserve">tiek informētas </w:t>
      </w:r>
      <w:r w:rsidR="009A0F27" w:rsidRPr="009A0F27">
        <w:rPr>
          <w:i/>
          <w:iCs/>
        </w:rPr>
        <w:t>e-veselībā uzrādītās personas vai atbilstoši Pacientu tiesību likuma 6.</w:t>
      </w:r>
      <w:r w:rsidR="009F506D">
        <w:rPr>
          <w:i/>
          <w:iCs/>
        </w:rPr>
        <w:t xml:space="preserve"> panta septītajai daļai</w:t>
      </w:r>
      <w:r w:rsidR="009A0F27" w:rsidRPr="009A0F27">
        <w:rPr>
          <w:i/>
          <w:iCs/>
        </w:rPr>
        <w:t xml:space="preserve"> pilnvarotām personām.</w:t>
      </w:r>
    </w:p>
    <w:p w14:paraId="535AD048" w14:textId="77777777" w:rsidR="0041298B" w:rsidRPr="00FD1A7E" w:rsidRDefault="006E26D3">
      <w:pPr>
        <w:pStyle w:val="Heading2"/>
        <w:rPr>
          <w:rFonts w:cs="Times New Roman"/>
        </w:rPr>
      </w:pPr>
      <w:r w:rsidRPr="00FD1A7E">
        <w:rPr>
          <w:rFonts w:cs="Times New Roman"/>
        </w:rPr>
        <w:t xml:space="preserve">3. Pacientu </w:t>
      </w:r>
      <w:proofErr w:type="spellStart"/>
      <w:r w:rsidRPr="00FD1A7E">
        <w:rPr>
          <w:rFonts w:cs="Times New Roman"/>
        </w:rPr>
        <w:t>prioritizācijas</w:t>
      </w:r>
      <w:proofErr w:type="spellEnd"/>
      <w:r w:rsidRPr="00FD1A7E">
        <w:rPr>
          <w:rFonts w:cs="Times New Roman"/>
        </w:rPr>
        <w:t xml:space="preserve"> principi</w:t>
      </w:r>
    </w:p>
    <w:p w14:paraId="5DF529CE" w14:textId="77777777" w:rsidR="0041298B" w:rsidRPr="004A7C10" w:rsidRDefault="006E26D3" w:rsidP="001D002F">
      <w:pPr>
        <w:spacing w:line="360" w:lineRule="auto"/>
        <w:jc w:val="both"/>
      </w:pPr>
      <w:r w:rsidRPr="004A7C10">
        <w:t xml:space="preserve">Kamēr resursi ir pietiekami, pacienti, kuriem nepieciešama intensīvā terapija, tiek uzņemti un ārstēti saskaņā ar intensīvā terapijā vispārpieņemtajiem kritērijiem. </w:t>
      </w:r>
    </w:p>
    <w:p w14:paraId="2151A0E6" w14:textId="77777777" w:rsidR="0041298B" w:rsidRPr="004A7C10" w:rsidRDefault="006E26D3">
      <w:pPr>
        <w:pStyle w:val="Heading3"/>
      </w:pPr>
      <w:r w:rsidRPr="004A7C10">
        <w:t>3.1. Pacienta autonomija</w:t>
      </w:r>
    </w:p>
    <w:p w14:paraId="539661F5" w14:textId="77777777" w:rsidR="0041298B" w:rsidRPr="004A7C10" w:rsidRDefault="006E26D3">
      <w:pPr>
        <w:spacing w:line="360" w:lineRule="auto"/>
        <w:ind w:right="23"/>
        <w:jc w:val="both"/>
      </w:pPr>
      <w:r w:rsidRPr="004A7C10">
        <w:t>Vispirms jānoskaidro pacienta griba un jāformulē ārstniecības mērķi. Ja pacienta griba ir pagarināt dzīvi par katru cenu, neskatoties uz iespējamo dzīves kvalitāti, tad nepieciešams paskaidrot ierobežoto resursu apstākļus.</w:t>
      </w:r>
    </w:p>
    <w:p w14:paraId="4B38DC01" w14:textId="104C6D9E" w:rsidR="0041298B" w:rsidRPr="004A7C10" w:rsidRDefault="006E26D3">
      <w:pPr>
        <w:spacing w:line="360" w:lineRule="auto"/>
        <w:ind w:right="23"/>
        <w:jc w:val="both"/>
      </w:pPr>
      <w:r w:rsidRPr="004A7C10">
        <w:t xml:space="preserve">Ja pacients nevēlas noteiktas ārstniecības metodes (šī dokumenta sakarā </w:t>
      </w:r>
      <w:proofErr w:type="spellStart"/>
      <w:r w:rsidRPr="004A7C10">
        <w:t>endotraheālo</w:t>
      </w:r>
      <w:proofErr w:type="spellEnd"/>
      <w:r w:rsidRPr="004A7C10">
        <w:t xml:space="preserve"> intubāciju, MPV, </w:t>
      </w:r>
      <w:proofErr w:type="spellStart"/>
      <w:r w:rsidRPr="004A7C10">
        <w:t>kardiopulmonālo</w:t>
      </w:r>
      <w:proofErr w:type="spellEnd"/>
      <w:r w:rsidRPr="004A7C10">
        <w:t xml:space="preserve"> reanimāciju</w:t>
      </w:r>
      <w:r w:rsidR="009B01A2">
        <w:t>,</w:t>
      </w:r>
      <w:r w:rsidR="00754A04" w:rsidRPr="004A7C10">
        <w:t xml:space="preserve"> </w:t>
      </w:r>
      <w:proofErr w:type="spellStart"/>
      <w:r w:rsidR="00754A04" w:rsidRPr="004A7C10">
        <w:t>u.c</w:t>
      </w:r>
      <w:proofErr w:type="spellEnd"/>
      <w:r w:rsidRPr="004A7C10">
        <w:t xml:space="preserve">), to nepieciešams fiksēt medicīniskajā dokumentācijā un tās nav jāveic. Atbilstoši Pacientu tiesību likuma 6. panta noteikumiem pacientam atteikšanās no ārstniecības jāapstiprina </w:t>
      </w:r>
      <w:proofErr w:type="spellStart"/>
      <w:r w:rsidRPr="004A7C10">
        <w:t>rakstveidā</w:t>
      </w:r>
      <w:proofErr w:type="spellEnd"/>
      <w:r w:rsidRPr="004A7C10">
        <w:t xml:space="preserve"> ar savu parakstu. </w:t>
      </w:r>
      <w:r w:rsidRPr="006A218B">
        <w:t>Ja pacients atsakās parakstīties, pacienta atteikšanos ar savu parakstu medicīniskajos dokumentos apliecina divi pilngadīgi un rīcībspējīgi liecinieki.</w:t>
      </w:r>
    </w:p>
    <w:p w14:paraId="5F5CF0B2" w14:textId="77777777" w:rsidR="0041298B" w:rsidRPr="004A7C10" w:rsidRDefault="006E26D3">
      <w:pPr>
        <w:pStyle w:val="Heading3"/>
      </w:pPr>
      <w:r w:rsidRPr="004A7C10">
        <w:t>3.2. Pacientu grupas</w:t>
      </w:r>
    </w:p>
    <w:p w14:paraId="0B8AD0CE" w14:textId="77777777" w:rsidR="0041298B" w:rsidRPr="004A7C10" w:rsidRDefault="006E26D3">
      <w:pPr>
        <w:ind w:firstLine="709"/>
      </w:pPr>
      <w:r w:rsidRPr="004A7C10">
        <w:t>Pacienti tiek iedalīti četrās grupās, katrai grupai piešķirot prioritātes krāsu:</w:t>
      </w:r>
    </w:p>
    <w:p w14:paraId="67793724" w14:textId="77777777" w:rsidR="0041298B" w:rsidRPr="004A7C10" w:rsidRDefault="006E26D3">
      <w:pPr>
        <w:numPr>
          <w:ilvl w:val="0"/>
          <w:numId w:val="2"/>
        </w:numPr>
        <w:tabs>
          <w:tab w:val="left" w:pos="560"/>
        </w:tabs>
        <w:spacing w:line="360" w:lineRule="auto"/>
        <w:ind w:left="562" w:hanging="278"/>
        <w:jc w:val="both"/>
      </w:pPr>
      <w:r w:rsidRPr="004A7C10">
        <w:rPr>
          <w:b/>
          <w:highlight w:val="cyan"/>
        </w:rPr>
        <w:t xml:space="preserve">ZILĀ </w:t>
      </w:r>
      <w:r w:rsidRPr="004A7C10">
        <w:t xml:space="preserve">– pacientiem ir prognozējama augsta mirstība, tādēļ tiek nodrošināta adekvāta paliatīva terapija (minimāla uzturoša </w:t>
      </w:r>
      <w:proofErr w:type="spellStart"/>
      <w:r w:rsidRPr="004A7C10">
        <w:t>neinvazīva</w:t>
      </w:r>
      <w:proofErr w:type="spellEnd"/>
      <w:r w:rsidRPr="004A7C10">
        <w:t xml:space="preserve"> terapija). Šo pacientu terapijas mērķi tiek pārskatīti tad, ja atbrīvojas resursi vai palielinās to pieejamība;</w:t>
      </w:r>
    </w:p>
    <w:p w14:paraId="304544C8" w14:textId="77777777" w:rsidR="0041298B" w:rsidRPr="004A7C10" w:rsidRDefault="006E26D3">
      <w:pPr>
        <w:numPr>
          <w:ilvl w:val="0"/>
          <w:numId w:val="2"/>
        </w:numPr>
        <w:tabs>
          <w:tab w:val="left" w:pos="560"/>
        </w:tabs>
        <w:spacing w:line="360" w:lineRule="auto"/>
        <w:ind w:left="562" w:hanging="278"/>
        <w:jc w:val="both"/>
      </w:pPr>
      <w:r w:rsidRPr="004A7C10">
        <w:rPr>
          <w:b/>
          <w:highlight w:val="red"/>
        </w:rPr>
        <w:t xml:space="preserve">SARKANĀ </w:t>
      </w:r>
      <w:r w:rsidRPr="004A7C10">
        <w:t>– pacientiem ir viena orgāna mazspēja (piemēram, pneimonija)</w:t>
      </w:r>
      <w:r w:rsidRPr="004A7C10">
        <w:rPr>
          <w:b/>
        </w:rPr>
        <w:t xml:space="preserve"> </w:t>
      </w:r>
      <w:r w:rsidRPr="004A7C10">
        <w:t>un</w:t>
      </w:r>
      <w:r w:rsidRPr="004A7C10">
        <w:rPr>
          <w:b/>
        </w:rPr>
        <w:t xml:space="preserve"> </w:t>
      </w:r>
      <w:r w:rsidRPr="004A7C10">
        <w:t>viņiem jānodrošina maksimālā pieejamā ārstēšana, jo viņu atveseļošanās potenciāls ir augsts;</w:t>
      </w:r>
    </w:p>
    <w:p w14:paraId="6C6C8B4A" w14:textId="77777777" w:rsidR="0041298B" w:rsidRPr="004A7C10" w:rsidRDefault="006E26D3">
      <w:pPr>
        <w:numPr>
          <w:ilvl w:val="0"/>
          <w:numId w:val="2"/>
        </w:numPr>
        <w:tabs>
          <w:tab w:val="left" w:pos="560"/>
        </w:tabs>
        <w:spacing w:line="360" w:lineRule="auto"/>
        <w:ind w:left="562" w:hanging="278"/>
        <w:jc w:val="both"/>
      </w:pPr>
      <w:r w:rsidRPr="004A7C10">
        <w:rPr>
          <w:b/>
          <w:highlight w:val="yellow"/>
        </w:rPr>
        <w:t xml:space="preserve">DZELTENĀ </w:t>
      </w:r>
      <w:r w:rsidRPr="004A7C10">
        <w:t xml:space="preserve">– </w:t>
      </w:r>
      <w:proofErr w:type="spellStart"/>
      <w:r w:rsidRPr="004A7C10">
        <w:t>polimorbīdi</w:t>
      </w:r>
      <w:proofErr w:type="spellEnd"/>
      <w:r w:rsidRPr="004A7C10">
        <w:t xml:space="preserve"> pacienti</w:t>
      </w:r>
      <w:r w:rsidRPr="004A7C10">
        <w:rPr>
          <w:b/>
        </w:rPr>
        <w:t xml:space="preserve"> </w:t>
      </w:r>
      <w:r w:rsidRPr="004A7C10">
        <w:t>ar</w:t>
      </w:r>
      <w:r w:rsidRPr="004A7C10">
        <w:rPr>
          <w:b/>
        </w:rPr>
        <w:t xml:space="preserve"> </w:t>
      </w:r>
      <w:r w:rsidRPr="004A7C10">
        <w:t>stabilu kompensācijas pakāpi hroniski noritošajai</w:t>
      </w:r>
      <w:r w:rsidRPr="004A7C10">
        <w:rPr>
          <w:b/>
        </w:rPr>
        <w:t xml:space="preserve"> </w:t>
      </w:r>
      <w:r w:rsidRPr="004A7C10">
        <w:t>pataloģijai, un viņiem tiek nodrošināta intensīvā terapija, ieskaitot mākslīgo plaušu ventilāciju (tālāk - MPV) tikai tad, ja tajā pašā laikā nav pretendentu no sarkanās grupas. Šo pacientu terapijas mērķi tiek pārskatīti brīdī, ja atbrīvojas resursi vai palielinās to pieejamība;</w:t>
      </w:r>
    </w:p>
    <w:p w14:paraId="1B287F89" w14:textId="77777777" w:rsidR="0041298B" w:rsidRPr="004A7C10" w:rsidRDefault="006E26D3">
      <w:pPr>
        <w:numPr>
          <w:ilvl w:val="0"/>
          <w:numId w:val="2"/>
        </w:numPr>
        <w:tabs>
          <w:tab w:val="left" w:pos="560"/>
        </w:tabs>
        <w:spacing w:line="360" w:lineRule="auto"/>
        <w:ind w:left="562" w:hanging="278"/>
      </w:pPr>
      <w:r w:rsidRPr="004A7C10">
        <w:rPr>
          <w:b/>
          <w:highlight w:val="green"/>
        </w:rPr>
        <w:lastRenderedPageBreak/>
        <w:t xml:space="preserve">ZAĻĀ </w:t>
      </w:r>
      <w:r w:rsidRPr="004A7C10">
        <w:t>– pacientu grupa, kura izdzīvos arī bez IT (tajā skaitā MPV).</w:t>
      </w:r>
    </w:p>
    <w:p w14:paraId="7BB162BD" w14:textId="326774A4" w:rsidR="0041298B" w:rsidRPr="001D002F" w:rsidRDefault="006E26D3">
      <w:pPr>
        <w:spacing w:line="360" w:lineRule="auto"/>
        <w:ind w:right="23"/>
        <w:jc w:val="both"/>
      </w:pPr>
      <w:r w:rsidRPr="001D002F">
        <w:rPr>
          <w:rFonts w:eastAsia="Noto Sans Symbols"/>
        </w:rPr>
        <w:t xml:space="preserve">Ārkārtas situācijas </w:t>
      </w:r>
      <w:r w:rsidRPr="001D002F">
        <w:t xml:space="preserve">apstākļos dažām slimnīcām IT resursi izsīks, kamēr citām tie vēl būs pieejami. Situācijā, kad nepieciešama pacienta pārvešana no vienas slimnīcas </w:t>
      </w:r>
      <w:r w:rsidR="006A218B">
        <w:t>u</w:t>
      </w:r>
      <w:r w:rsidRPr="001D002F">
        <w:t>z citu</w:t>
      </w:r>
      <w:r w:rsidR="00A25AD1">
        <w:t xml:space="preserve">, </w:t>
      </w:r>
      <w:r w:rsidR="00A25AD1" w:rsidRPr="00A25AD1">
        <w:rPr>
          <w:i/>
          <w:iCs/>
        </w:rPr>
        <w:t xml:space="preserve">lai pacients varētu </w:t>
      </w:r>
      <w:r w:rsidR="006A218B">
        <w:rPr>
          <w:i/>
          <w:iCs/>
        </w:rPr>
        <w:t>turpināt/</w:t>
      </w:r>
      <w:r w:rsidR="00A25AD1" w:rsidRPr="00A25AD1">
        <w:rPr>
          <w:i/>
          <w:iCs/>
        </w:rPr>
        <w:t>saņemt viņam nepieciešamo ārstēšanu</w:t>
      </w:r>
      <w:r w:rsidRPr="001D002F">
        <w:t xml:space="preserve">, pacientam vai tuviniekiem ir tiesības atteikties no pārvešanas. Tas tiek interpretēts, </w:t>
      </w:r>
      <w:r w:rsidRPr="009A0F27">
        <w:t xml:space="preserve">kā atteikums no piedāvātās ārstniecības </w:t>
      </w:r>
      <w:r w:rsidR="00754A04" w:rsidRPr="009A0F27">
        <w:t>veida</w:t>
      </w:r>
      <w:r w:rsidR="009A0F27" w:rsidRPr="009A0F27">
        <w:t xml:space="preserve"> </w:t>
      </w:r>
      <w:r w:rsidR="009A0F27" w:rsidRPr="009A0F27">
        <w:rPr>
          <w:i/>
          <w:iCs/>
        </w:rPr>
        <w:t>un stājas spēkā punkta 3.1 kārtība.</w:t>
      </w:r>
    </w:p>
    <w:p w14:paraId="5F25E0CC" w14:textId="77777777" w:rsidR="0041298B" w:rsidRPr="004A7C10" w:rsidRDefault="006E26D3">
      <w:pPr>
        <w:spacing w:line="360" w:lineRule="auto"/>
        <w:ind w:right="23"/>
        <w:jc w:val="both"/>
        <w:rPr>
          <w:b/>
          <w:bCs/>
        </w:rPr>
      </w:pPr>
      <w:r w:rsidRPr="004A7C10">
        <w:rPr>
          <w:b/>
          <w:bCs/>
        </w:rPr>
        <w:t xml:space="preserve">3.3. Pacientu </w:t>
      </w:r>
      <w:proofErr w:type="spellStart"/>
      <w:r w:rsidRPr="004A7C10">
        <w:rPr>
          <w:b/>
          <w:bCs/>
        </w:rPr>
        <w:t>prioritizācija</w:t>
      </w:r>
      <w:proofErr w:type="spellEnd"/>
      <w:r w:rsidRPr="004A7C10">
        <w:rPr>
          <w:b/>
          <w:bCs/>
        </w:rPr>
        <w:t xml:space="preserve"> atbilstoši IT gultu noslodzei</w:t>
      </w:r>
    </w:p>
    <w:p w14:paraId="4B2DE0EE" w14:textId="2380BD70" w:rsidR="0041298B" w:rsidRPr="004A7C10" w:rsidRDefault="006E26D3">
      <w:pPr>
        <w:spacing w:line="360" w:lineRule="auto"/>
        <w:jc w:val="both"/>
      </w:pPr>
      <w:r w:rsidRPr="004A7C10">
        <w:t xml:space="preserve">Ja ITN un pielāgoto gultu ārstēšanas kapacitāte vairs nav pietiekama, lai varētu intensīvi ārstēt visus kritiskos pacientus, nepieciešams izvērtēt konkrēto pacientu </w:t>
      </w:r>
      <w:r w:rsidRPr="009D2142">
        <w:rPr>
          <w:rFonts w:eastAsia="Arial"/>
          <w:color w:val="000000"/>
          <w:sz w:val="22"/>
          <w:szCs w:val="22"/>
        </w:rPr>
        <w:t>IT uzsākšanas mērķtiecību</w:t>
      </w:r>
      <w:r w:rsidR="00F264D6" w:rsidRPr="004A7C10">
        <w:rPr>
          <w:b/>
        </w:rPr>
        <w:t>.</w:t>
      </w:r>
      <w:r w:rsidRPr="004A7C10">
        <w:t xml:space="preserve"> ITN ievietojami tikai tie pacienti, kuriem nepieciešama plaušu mehāniskā ventilācija (vai cita īpaša IT ārstniecības intervence, piemēram, </w:t>
      </w:r>
      <w:proofErr w:type="spellStart"/>
      <w:r w:rsidRPr="004A7C10">
        <w:t>hemodinamikas</w:t>
      </w:r>
      <w:proofErr w:type="spellEnd"/>
      <w:r w:rsidRPr="004A7C10">
        <w:t xml:space="preserve"> atbalsts ar vazoaktīviem līdzekļiem vai nepārtraukta nieru </w:t>
      </w:r>
      <w:proofErr w:type="spellStart"/>
      <w:r w:rsidRPr="004A7C10">
        <w:t>aizstājterapija</w:t>
      </w:r>
      <w:proofErr w:type="spellEnd"/>
      <w:r w:rsidRPr="004A7C10">
        <w:t>), pamatojoties uz kritērijiem, kas norādīti turpmāk. Šajā situācijā reanimācijas pasākumi pēc sirdsdarbības apstāšanās netiek rekomendēti.</w:t>
      </w:r>
    </w:p>
    <w:p w14:paraId="3A1AD6BD" w14:textId="77777777" w:rsidR="0041298B" w:rsidRPr="004A7C10" w:rsidRDefault="006E26D3">
      <w:pPr>
        <w:spacing w:line="360" w:lineRule="auto"/>
        <w:jc w:val="both"/>
      </w:pPr>
      <w:r w:rsidRPr="004A7C10">
        <w:t xml:space="preserve">Atkarībā no slimnīcas IT gultu noslodzes izšķirami divi pacientu </w:t>
      </w:r>
      <w:proofErr w:type="spellStart"/>
      <w:r w:rsidRPr="004A7C10">
        <w:t>prioritizācijas</w:t>
      </w:r>
      <w:proofErr w:type="spellEnd"/>
      <w:r w:rsidRPr="004A7C10">
        <w:t xml:space="preserve"> veidi, kuri ietekmē prioritāšu noteikšanu, gan uzņemot pacientu ITN (nepieciešamais ārstēšanas apjoms un iespējamais ilgums, IT līmenis, piemēram, ārstēšana augsta līmeņa intensīvās terapijas nodaļā, zemāka līmeņa ITN vai paliatīvā aprūpe), gan pacientam atrodoties ITN (pacientu ikdienas klīniskā stāvokļa novērtējums par ārstēšanas turpināšanu, intensitātes vai ilguma ierobežošanu, ārstēšanas mērķa modificēšanu un paliatīvo aprūpi):</w:t>
      </w:r>
    </w:p>
    <w:p w14:paraId="32ACE70E" w14:textId="77777777" w:rsidR="0041298B" w:rsidRPr="004A7C10" w:rsidRDefault="006E26D3">
      <w:pPr>
        <w:numPr>
          <w:ilvl w:val="1"/>
          <w:numId w:val="4"/>
        </w:numPr>
        <w:spacing w:line="360" w:lineRule="auto"/>
        <w:ind w:right="23"/>
        <w:jc w:val="both"/>
      </w:pPr>
      <w:r w:rsidRPr="004A7C10">
        <w:rPr>
          <w:b/>
        </w:rPr>
        <w:t>A situācija</w:t>
      </w:r>
      <w:r w:rsidRPr="004A7C10">
        <w:t xml:space="preserve"> - IT ārstēšanas kapacitāte tuvu izsīkumam</w:t>
      </w:r>
    </w:p>
    <w:p w14:paraId="2E28C81F" w14:textId="77777777" w:rsidR="0041298B" w:rsidRPr="004A7C10" w:rsidRDefault="006E26D3">
      <w:pPr>
        <w:numPr>
          <w:ilvl w:val="1"/>
          <w:numId w:val="4"/>
        </w:numPr>
        <w:spacing w:line="360" w:lineRule="auto"/>
        <w:ind w:right="23"/>
        <w:jc w:val="both"/>
      </w:pPr>
      <w:r w:rsidRPr="004A7C10">
        <w:rPr>
          <w:b/>
        </w:rPr>
        <w:t>B situācija</w:t>
      </w:r>
      <w:r w:rsidRPr="004A7C10">
        <w:t xml:space="preserve"> – IT gultu kapacitāte izsīkusi</w:t>
      </w:r>
    </w:p>
    <w:p w14:paraId="6D922467" w14:textId="77777777" w:rsidR="0041298B" w:rsidRPr="004A7C10" w:rsidRDefault="006E26D3">
      <w:pPr>
        <w:pStyle w:val="Heading2"/>
      </w:pPr>
      <w:r w:rsidRPr="004A7C10">
        <w:t>4. Kritēriji pacientu uzņemšanai ITN</w:t>
      </w:r>
    </w:p>
    <w:p w14:paraId="1A8B66C7" w14:textId="77777777" w:rsidR="0041298B" w:rsidRPr="004A7C10" w:rsidRDefault="006E26D3">
      <w:pPr>
        <w:pStyle w:val="Heading3"/>
      </w:pPr>
      <w:r w:rsidRPr="004A7C10">
        <w:t>1. solis: Vai pacientam ir kāds no šiem iekļaušanas kritērijiem?</w:t>
      </w:r>
    </w:p>
    <w:p w14:paraId="70F28E5F" w14:textId="161EFAEA" w:rsidR="0041298B" w:rsidRPr="004A7C10" w:rsidRDefault="006E26D3">
      <w:r w:rsidRPr="004A7C10">
        <w:t>1</w:t>
      </w:r>
      <w:r w:rsidR="00EE5365" w:rsidRPr="004A7C10">
        <w:t xml:space="preserve">) </w:t>
      </w:r>
      <w:proofErr w:type="spellStart"/>
      <w:r w:rsidRPr="004A7C10">
        <w:t>Invazīvas</w:t>
      </w:r>
      <w:proofErr w:type="spellEnd"/>
      <w:r w:rsidRPr="004A7C10">
        <w:t xml:space="preserve"> ventilācijas atbalsta vajadzība?</w:t>
      </w:r>
    </w:p>
    <w:p w14:paraId="244CC78D" w14:textId="77777777" w:rsidR="0041298B" w:rsidRPr="004A7C10" w:rsidRDefault="006E26D3">
      <w:pPr>
        <w:numPr>
          <w:ilvl w:val="0"/>
          <w:numId w:val="8"/>
        </w:numPr>
        <w:pBdr>
          <w:top w:val="nil"/>
          <w:left w:val="nil"/>
          <w:bottom w:val="nil"/>
          <w:right w:val="nil"/>
          <w:between w:val="nil"/>
        </w:pBdr>
        <w:spacing w:line="332" w:lineRule="auto"/>
        <w:ind w:right="20"/>
        <w:jc w:val="both"/>
      </w:pPr>
      <w:proofErr w:type="spellStart"/>
      <w:r w:rsidRPr="004A7C10">
        <w:rPr>
          <w:color w:val="000000"/>
        </w:rPr>
        <w:t>Refraktāra</w:t>
      </w:r>
      <w:proofErr w:type="spellEnd"/>
      <w:r w:rsidRPr="004A7C10">
        <w:rPr>
          <w:color w:val="000000"/>
        </w:rPr>
        <w:t xml:space="preserve"> </w:t>
      </w:r>
      <w:proofErr w:type="spellStart"/>
      <w:r w:rsidRPr="004A7C10">
        <w:rPr>
          <w:color w:val="000000"/>
        </w:rPr>
        <w:t>hipoksēmija</w:t>
      </w:r>
      <w:proofErr w:type="spellEnd"/>
      <w:r w:rsidRPr="004A7C10">
        <w:rPr>
          <w:color w:val="000000"/>
        </w:rPr>
        <w:t xml:space="preserve"> (SpO2 &lt; 90%, elpojot skābekli (FiO2 &gt; 0,85))</w:t>
      </w:r>
    </w:p>
    <w:p w14:paraId="30903B93" w14:textId="1DBE6CDE" w:rsidR="0041298B" w:rsidRPr="004A7C10" w:rsidRDefault="006E26D3">
      <w:pPr>
        <w:numPr>
          <w:ilvl w:val="0"/>
          <w:numId w:val="8"/>
        </w:numPr>
        <w:pBdr>
          <w:top w:val="nil"/>
          <w:left w:val="nil"/>
          <w:bottom w:val="nil"/>
          <w:right w:val="nil"/>
          <w:between w:val="nil"/>
        </w:pBdr>
        <w:spacing w:line="332" w:lineRule="auto"/>
        <w:ind w:right="20"/>
        <w:jc w:val="both"/>
      </w:pPr>
      <w:r w:rsidRPr="004A7C10">
        <w:rPr>
          <w:color w:val="000000"/>
        </w:rPr>
        <w:t>Respiratora acidoze (</w:t>
      </w:r>
      <w:proofErr w:type="spellStart"/>
      <w:r w:rsidRPr="004A7C10">
        <w:rPr>
          <w:color w:val="000000"/>
        </w:rPr>
        <w:t>pH</w:t>
      </w:r>
      <w:proofErr w:type="spellEnd"/>
      <w:r w:rsidRPr="004A7C10">
        <w:rPr>
          <w:color w:val="000000"/>
        </w:rPr>
        <w:t xml:space="preserve"> &lt;7,2</w:t>
      </w:r>
      <w:r w:rsidR="00F264D6" w:rsidRPr="004A7C10">
        <w:rPr>
          <w:color w:val="000000"/>
        </w:rPr>
        <w:t>)</w:t>
      </w:r>
    </w:p>
    <w:p w14:paraId="284A3797" w14:textId="77777777" w:rsidR="0041298B" w:rsidRPr="004A7C10" w:rsidRDefault="006E26D3">
      <w:pPr>
        <w:numPr>
          <w:ilvl w:val="0"/>
          <w:numId w:val="8"/>
        </w:numPr>
        <w:pBdr>
          <w:top w:val="nil"/>
          <w:left w:val="nil"/>
          <w:bottom w:val="nil"/>
          <w:right w:val="nil"/>
          <w:between w:val="nil"/>
        </w:pBdr>
        <w:spacing w:line="332" w:lineRule="auto"/>
        <w:ind w:right="20"/>
        <w:jc w:val="both"/>
      </w:pPr>
      <w:r w:rsidRPr="004A7C10">
        <w:rPr>
          <w:color w:val="000000"/>
        </w:rPr>
        <w:t>Elpošanas mazspējas klīniskie simptomi</w:t>
      </w:r>
      <w:r w:rsidRPr="004A7C10">
        <w:rPr>
          <w:color w:val="000000"/>
          <w:highlight w:val="yellow"/>
        </w:rPr>
        <w:t xml:space="preserve"> </w:t>
      </w:r>
    </w:p>
    <w:p w14:paraId="424376BE" w14:textId="77777777" w:rsidR="0041298B" w:rsidRPr="004A7C10" w:rsidRDefault="006E26D3">
      <w:pPr>
        <w:numPr>
          <w:ilvl w:val="0"/>
          <w:numId w:val="8"/>
        </w:numPr>
        <w:pBdr>
          <w:top w:val="nil"/>
          <w:left w:val="nil"/>
          <w:bottom w:val="nil"/>
          <w:right w:val="nil"/>
          <w:between w:val="nil"/>
        </w:pBdr>
        <w:spacing w:line="332" w:lineRule="auto"/>
        <w:ind w:right="20"/>
        <w:jc w:val="both"/>
      </w:pPr>
      <w:r w:rsidRPr="004A7C10">
        <w:rPr>
          <w:color w:val="000000"/>
        </w:rPr>
        <w:t xml:space="preserve">Nespēja uzturēt elpceļu </w:t>
      </w:r>
      <w:proofErr w:type="spellStart"/>
      <w:r w:rsidRPr="004A7C10">
        <w:rPr>
          <w:color w:val="000000"/>
        </w:rPr>
        <w:t>caurejamību</w:t>
      </w:r>
      <w:proofErr w:type="spellEnd"/>
    </w:p>
    <w:p w14:paraId="312F3D87" w14:textId="77777777" w:rsidR="0041298B" w:rsidRPr="004A7C10" w:rsidRDefault="006E26D3" w:rsidP="00223E20">
      <w:pPr>
        <w:spacing w:line="360" w:lineRule="auto"/>
        <w:ind w:left="851" w:hanging="851"/>
      </w:pPr>
      <w:r w:rsidRPr="004A7C10">
        <w:lastRenderedPageBreak/>
        <w:t xml:space="preserve">2) Nepieciešama </w:t>
      </w:r>
      <w:proofErr w:type="spellStart"/>
      <w:r w:rsidRPr="004A7C10">
        <w:t>hemodinamiskā</w:t>
      </w:r>
      <w:proofErr w:type="spellEnd"/>
      <w:r w:rsidRPr="004A7C10">
        <w:t xml:space="preserve"> balsta terapija ar vazoaktīviem līdzekļiem (</w:t>
      </w:r>
      <w:proofErr w:type="spellStart"/>
      <w:r w:rsidRPr="004A7C10">
        <w:t>noradrenalīna</w:t>
      </w:r>
      <w:proofErr w:type="spellEnd"/>
      <w:r w:rsidRPr="004A7C10">
        <w:t xml:space="preserve"> deva &gt; 0,1 µg / kg / min)</w:t>
      </w:r>
    </w:p>
    <w:p w14:paraId="7C582A19" w14:textId="77777777" w:rsidR="0041298B" w:rsidRPr="004A7C10" w:rsidRDefault="006E26D3" w:rsidP="0098715F">
      <w:pPr>
        <w:numPr>
          <w:ilvl w:val="0"/>
          <w:numId w:val="16"/>
        </w:numPr>
        <w:pBdr>
          <w:top w:val="nil"/>
          <w:left w:val="nil"/>
          <w:bottom w:val="nil"/>
          <w:right w:val="nil"/>
          <w:between w:val="nil"/>
        </w:pBdr>
        <w:spacing w:line="332" w:lineRule="auto"/>
        <w:ind w:right="20"/>
        <w:jc w:val="both"/>
      </w:pPr>
      <w:proofErr w:type="spellStart"/>
      <w:r w:rsidRPr="004A7C10">
        <w:t>Sistoliskais</w:t>
      </w:r>
      <w:proofErr w:type="spellEnd"/>
      <w:r w:rsidRPr="004A7C10">
        <w:t xml:space="preserve"> AS &lt; 90 </w:t>
      </w:r>
      <w:proofErr w:type="spellStart"/>
      <w:r w:rsidRPr="004A7C10">
        <w:t>mmHg</w:t>
      </w:r>
      <w:proofErr w:type="spellEnd"/>
    </w:p>
    <w:p w14:paraId="5D53FAEA" w14:textId="77777777" w:rsidR="0041298B" w:rsidRPr="004A7C10" w:rsidRDefault="006E26D3" w:rsidP="0098715F">
      <w:pPr>
        <w:numPr>
          <w:ilvl w:val="0"/>
          <w:numId w:val="16"/>
        </w:numPr>
        <w:pBdr>
          <w:top w:val="nil"/>
          <w:left w:val="nil"/>
          <w:bottom w:val="nil"/>
          <w:right w:val="nil"/>
          <w:between w:val="nil"/>
        </w:pBdr>
        <w:spacing w:line="332" w:lineRule="auto"/>
        <w:ind w:right="20"/>
        <w:jc w:val="both"/>
      </w:pPr>
      <w:r w:rsidRPr="004A7C10">
        <w:rPr>
          <w:color w:val="000000"/>
        </w:rPr>
        <w:t xml:space="preserve">Relatīva arteriāla hipotensija ar </w:t>
      </w:r>
      <w:proofErr w:type="spellStart"/>
      <w:r w:rsidRPr="004A7C10">
        <w:rPr>
          <w:color w:val="000000"/>
        </w:rPr>
        <w:t>hemodinamiska</w:t>
      </w:r>
      <w:proofErr w:type="spellEnd"/>
      <w:r w:rsidRPr="004A7C10">
        <w:rPr>
          <w:color w:val="000000"/>
        </w:rPr>
        <w:t xml:space="preserve"> šoka pazīmēm (apziņas traucējumi, samazināta </w:t>
      </w:r>
      <w:proofErr w:type="spellStart"/>
      <w:r w:rsidRPr="004A7C10">
        <w:rPr>
          <w:color w:val="000000"/>
        </w:rPr>
        <w:t>diurēze</w:t>
      </w:r>
      <w:proofErr w:type="spellEnd"/>
      <w:r w:rsidRPr="004A7C10">
        <w:rPr>
          <w:color w:val="000000"/>
        </w:rPr>
        <w:t xml:space="preserve">), </w:t>
      </w:r>
      <w:proofErr w:type="spellStart"/>
      <w:r w:rsidRPr="004A7C10">
        <w:rPr>
          <w:color w:val="000000"/>
        </w:rPr>
        <w:t>refraktāra</w:t>
      </w:r>
      <w:proofErr w:type="spellEnd"/>
      <w:r w:rsidRPr="004A7C10">
        <w:rPr>
          <w:color w:val="000000"/>
        </w:rPr>
        <w:t xml:space="preserve"> pret šķidruma ievadi</w:t>
      </w:r>
    </w:p>
    <w:p w14:paraId="79CDCA55" w14:textId="695F6C52" w:rsidR="0041298B" w:rsidRDefault="006E26D3" w:rsidP="00223E20">
      <w:pPr>
        <w:ind w:left="1080" w:hanging="1080"/>
      </w:pPr>
      <w:r w:rsidRPr="004A7C10">
        <w:t>3) Nepieciešama cita tikai ITN pieejama orgānu atbalsta  metode.</w:t>
      </w:r>
    </w:p>
    <w:p w14:paraId="0CCB6E78" w14:textId="77777777" w:rsidR="007A07E1" w:rsidRPr="004A7C10" w:rsidRDefault="007A07E1" w:rsidP="00223E20">
      <w:pPr>
        <w:ind w:left="1080" w:hanging="1080"/>
        <w:rPr>
          <w:highlight w:val="yellow"/>
        </w:rPr>
      </w:pPr>
    </w:p>
    <w:p w14:paraId="66D80B39" w14:textId="77777777" w:rsidR="0041298B" w:rsidRPr="004A7C10" w:rsidRDefault="006E26D3">
      <w:pPr>
        <w:ind w:left="1080" w:hanging="370"/>
        <w:rPr>
          <w:b/>
          <w:bCs/>
        </w:rPr>
      </w:pPr>
      <w:r w:rsidRPr="004A7C10">
        <w:rPr>
          <w:b/>
          <w:bCs/>
        </w:rPr>
        <w:t>2. solis: Vai pacientam ir kāds no šiem izslēgšanas kritērijiem?</w:t>
      </w:r>
    </w:p>
    <w:p w14:paraId="0C6ACACA" w14:textId="77777777" w:rsidR="00F264D6" w:rsidRPr="004A7C10" w:rsidRDefault="00F264D6">
      <w:pPr>
        <w:rPr>
          <w:b/>
          <w:sz w:val="20"/>
          <w:szCs w:val="20"/>
        </w:rPr>
      </w:pPr>
    </w:p>
    <w:p w14:paraId="5E8C3483" w14:textId="77777777" w:rsidR="00F264D6" w:rsidRPr="004A7C10" w:rsidRDefault="00F264D6">
      <w:pPr>
        <w:rPr>
          <w:b/>
          <w:sz w:val="20"/>
          <w:szCs w:val="20"/>
        </w:rPr>
      </w:pPr>
    </w:p>
    <w:p w14:paraId="09337CBA" w14:textId="182F02D4" w:rsidR="0041298B" w:rsidRPr="009D2142" w:rsidRDefault="006E26D3">
      <w:pPr>
        <w:rPr>
          <w:b/>
        </w:rPr>
      </w:pPr>
      <w:r w:rsidRPr="009D2142">
        <w:rPr>
          <w:b/>
        </w:rPr>
        <w:t>Tabula. Izslēgšanas kritēriji ievietošanai ITN</w:t>
      </w:r>
    </w:p>
    <w:p w14:paraId="53027831" w14:textId="20C9CE10" w:rsidR="00F264D6" w:rsidRPr="004A7C10" w:rsidRDefault="00F264D6">
      <w:pPr>
        <w:rPr>
          <w:sz w:val="20"/>
          <w:szCs w:val="20"/>
        </w:rPr>
      </w:pPr>
    </w:p>
    <w:tbl>
      <w:tblPr>
        <w:tblStyle w:val="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F264D6" w:rsidRPr="004A7C10" w14:paraId="02C48C5D" w14:textId="77777777" w:rsidTr="00C72186">
        <w:tc>
          <w:tcPr>
            <w:tcW w:w="4675" w:type="dxa"/>
          </w:tcPr>
          <w:p w14:paraId="1DB85A31" w14:textId="77777777" w:rsidR="00F264D6" w:rsidRPr="004A7C10" w:rsidRDefault="00F264D6" w:rsidP="00C72186">
            <w:pPr>
              <w:spacing w:line="360" w:lineRule="auto"/>
              <w:ind w:right="23"/>
              <w:jc w:val="both"/>
              <w:rPr>
                <w:b/>
                <w:highlight w:val="yellow"/>
              </w:rPr>
            </w:pPr>
            <w:r w:rsidRPr="004A7C10">
              <w:rPr>
                <w:b/>
              </w:rPr>
              <w:t>A situācija</w:t>
            </w:r>
          </w:p>
        </w:tc>
        <w:tc>
          <w:tcPr>
            <w:tcW w:w="4675" w:type="dxa"/>
          </w:tcPr>
          <w:p w14:paraId="4468C7C4" w14:textId="77777777" w:rsidR="00F264D6" w:rsidRPr="004A7C10" w:rsidRDefault="00F264D6" w:rsidP="00C72186">
            <w:pPr>
              <w:spacing w:line="360" w:lineRule="auto"/>
              <w:ind w:right="23"/>
              <w:jc w:val="both"/>
              <w:rPr>
                <w:b/>
                <w:highlight w:val="yellow"/>
              </w:rPr>
            </w:pPr>
            <w:r w:rsidRPr="004A7C10">
              <w:rPr>
                <w:b/>
              </w:rPr>
              <w:t>B situācija</w:t>
            </w:r>
          </w:p>
        </w:tc>
      </w:tr>
      <w:tr w:rsidR="00F264D6" w:rsidRPr="004A7C10" w14:paraId="70ABCC84" w14:textId="77777777" w:rsidTr="00C72186">
        <w:tc>
          <w:tcPr>
            <w:tcW w:w="4675" w:type="dxa"/>
          </w:tcPr>
          <w:p w14:paraId="49497D50" w14:textId="77777777" w:rsidR="00F264D6" w:rsidRPr="004A7C10" w:rsidRDefault="00F264D6" w:rsidP="00C72186">
            <w:r w:rsidRPr="004A7C10">
              <w:t xml:space="preserve">- Pacienta vēlmes </w:t>
            </w:r>
          </w:p>
          <w:p w14:paraId="23594261" w14:textId="77777777" w:rsidR="00F264D6" w:rsidRPr="004A7C10" w:rsidRDefault="00F264D6" w:rsidP="00F264D6">
            <w:pPr>
              <w:numPr>
                <w:ilvl w:val="0"/>
                <w:numId w:val="13"/>
              </w:numPr>
              <w:pBdr>
                <w:top w:val="nil"/>
                <w:left w:val="nil"/>
                <w:bottom w:val="nil"/>
                <w:right w:val="nil"/>
                <w:between w:val="nil"/>
              </w:pBdr>
              <w:spacing w:line="332" w:lineRule="auto"/>
              <w:ind w:right="20"/>
              <w:jc w:val="both"/>
            </w:pPr>
            <w:r w:rsidRPr="004A7C10">
              <w:rPr>
                <w:color w:val="000000"/>
              </w:rPr>
              <w:t>iebildumi pret ārstēšanu ITN</w:t>
            </w:r>
          </w:p>
          <w:p w14:paraId="32544554" w14:textId="77777777" w:rsidR="00F264D6" w:rsidRPr="004A7C10" w:rsidRDefault="00F264D6" w:rsidP="00F264D6">
            <w:pPr>
              <w:numPr>
                <w:ilvl w:val="0"/>
                <w:numId w:val="13"/>
              </w:numPr>
              <w:pBdr>
                <w:top w:val="nil"/>
                <w:left w:val="nil"/>
                <w:bottom w:val="nil"/>
                <w:right w:val="nil"/>
                <w:between w:val="nil"/>
              </w:pBdr>
              <w:spacing w:line="332" w:lineRule="auto"/>
              <w:ind w:right="20"/>
              <w:jc w:val="both"/>
            </w:pPr>
            <w:r w:rsidRPr="004A7C10">
              <w:rPr>
                <w:color w:val="000000"/>
              </w:rPr>
              <w:t xml:space="preserve">skaidri pausta atteikšanās no </w:t>
            </w:r>
            <w:proofErr w:type="spellStart"/>
            <w:r w:rsidRPr="004A7C10">
              <w:rPr>
                <w:color w:val="000000"/>
              </w:rPr>
              <w:t>endotraheālas</w:t>
            </w:r>
            <w:proofErr w:type="spellEnd"/>
            <w:r w:rsidRPr="004A7C10">
              <w:rPr>
                <w:color w:val="000000"/>
              </w:rPr>
              <w:t xml:space="preserve"> intubācijas un MPV</w:t>
            </w:r>
          </w:p>
          <w:p w14:paraId="65F462EF" w14:textId="77777777" w:rsidR="00F264D6" w:rsidRPr="004A7C10" w:rsidRDefault="00F264D6" w:rsidP="00C72186">
            <w:pPr>
              <w:ind w:left="174" w:hanging="174"/>
              <w:rPr>
                <w:strike/>
              </w:rPr>
            </w:pPr>
            <w:r w:rsidRPr="004A7C10">
              <w:t>- Klīniskā trausluma skalas (</w:t>
            </w:r>
            <w:r w:rsidRPr="004A7C10">
              <w:rPr>
                <w:i/>
              </w:rPr>
              <w:t>CFS</w:t>
            </w:r>
            <w:r w:rsidRPr="004A7C10">
              <w:t xml:space="preserve">) rādītājs ≥7 </w:t>
            </w:r>
          </w:p>
          <w:p w14:paraId="6B84463C" w14:textId="77777777" w:rsidR="00F264D6" w:rsidRPr="004A7C10" w:rsidRDefault="00F264D6" w:rsidP="00C72186">
            <w:pPr>
              <w:ind w:left="174" w:hanging="174"/>
            </w:pPr>
            <w:r w:rsidRPr="004A7C10">
              <w:t>- Sirdsdarbības apstāšanās ārpus slimnīcas bez lieciniekiem, atkārtota sirdsdarbības apstāšanās</w:t>
            </w:r>
          </w:p>
          <w:p w14:paraId="4C875CB7" w14:textId="77777777" w:rsidR="00F264D6" w:rsidRPr="004A7C10" w:rsidRDefault="00F264D6" w:rsidP="00C72186">
            <w:pPr>
              <w:ind w:left="174" w:hanging="174"/>
            </w:pPr>
            <w:r w:rsidRPr="004A7C10">
              <w:t xml:space="preserve">- Smaga, strauji progresējoša, neārstējama slimība (piemēram, </w:t>
            </w:r>
            <w:proofErr w:type="spellStart"/>
            <w:r w:rsidRPr="004A7C10">
              <w:t>neirodeģeneratīva</w:t>
            </w:r>
            <w:proofErr w:type="spellEnd"/>
            <w:r w:rsidRPr="004A7C10">
              <w:t xml:space="preserve"> slimība vai ļaundabīgs audzējs) </w:t>
            </w:r>
          </w:p>
          <w:p w14:paraId="7FFCA820" w14:textId="77777777" w:rsidR="00F264D6" w:rsidRPr="004A7C10" w:rsidRDefault="00F264D6" w:rsidP="00C72186">
            <w:r w:rsidRPr="004A7C10">
              <w:t>- Hroniskas slimības, piemēram:</w:t>
            </w:r>
          </w:p>
          <w:p w14:paraId="1ACAD70D" w14:textId="77777777" w:rsidR="00F264D6" w:rsidRPr="004A7C10" w:rsidRDefault="00F264D6" w:rsidP="00F264D6">
            <w:pPr>
              <w:numPr>
                <w:ilvl w:val="0"/>
                <w:numId w:val="14"/>
              </w:numPr>
              <w:pBdr>
                <w:top w:val="nil"/>
                <w:left w:val="nil"/>
                <w:bottom w:val="nil"/>
                <w:right w:val="nil"/>
                <w:between w:val="nil"/>
              </w:pBdr>
              <w:spacing w:line="332" w:lineRule="auto"/>
              <w:ind w:right="20"/>
              <w:jc w:val="both"/>
            </w:pPr>
            <w:r w:rsidRPr="004A7C10">
              <w:rPr>
                <w:color w:val="000000"/>
              </w:rPr>
              <w:t>NYHA IV klases sirds mazspēja, neskatoties uz optimālu ārstēšanu</w:t>
            </w:r>
          </w:p>
          <w:p w14:paraId="72A8D846" w14:textId="77777777" w:rsidR="00F264D6" w:rsidRPr="004A7C10" w:rsidRDefault="00F264D6" w:rsidP="00F264D6">
            <w:pPr>
              <w:numPr>
                <w:ilvl w:val="0"/>
                <w:numId w:val="14"/>
              </w:numPr>
              <w:pBdr>
                <w:top w:val="nil"/>
                <w:left w:val="nil"/>
                <w:bottom w:val="nil"/>
                <w:right w:val="nil"/>
                <w:between w:val="nil"/>
              </w:pBdr>
              <w:spacing w:line="332" w:lineRule="auto"/>
              <w:ind w:right="20"/>
              <w:jc w:val="both"/>
            </w:pPr>
            <w:r w:rsidRPr="004A7C10">
              <w:rPr>
                <w:color w:val="000000"/>
              </w:rPr>
              <w:t>HOPS GOLD 4 (D), kas vienā gadā prasa vairāk par 2 hospitalizācijas epizodēm</w:t>
            </w:r>
          </w:p>
          <w:p w14:paraId="527DEB5E" w14:textId="77777777" w:rsidR="00F264D6" w:rsidRPr="004A7C10" w:rsidRDefault="00F264D6" w:rsidP="00F264D6">
            <w:pPr>
              <w:numPr>
                <w:ilvl w:val="0"/>
                <w:numId w:val="14"/>
              </w:numPr>
              <w:pBdr>
                <w:top w:val="nil"/>
                <w:left w:val="nil"/>
                <w:bottom w:val="nil"/>
                <w:right w:val="nil"/>
                <w:between w:val="nil"/>
              </w:pBdr>
              <w:spacing w:line="332" w:lineRule="auto"/>
              <w:ind w:right="20"/>
              <w:jc w:val="both"/>
            </w:pPr>
            <w:r w:rsidRPr="004A7C10">
              <w:rPr>
                <w:color w:val="000000"/>
              </w:rPr>
              <w:t>Aknu ciroze (</w:t>
            </w:r>
            <w:proofErr w:type="spellStart"/>
            <w:r w:rsidRPr="004A7C10">
              <w:rPr>
                <w:i/>
                <w:color w:val="000000"/>
              </w:rPr>
              <w:t>Child-Pugh</w:t>
            </w:r>
            <w:proofErr w:type="spellEnd"/>
            <w:r w:rsidRPr="004A7C10">
              <w:rPr>
                <w:color w:val="000000"/>
              </w:rPr>
              <w:t xml:space="preserve"> C klase, &gt; 8)</w:t>
            </w:r>
          </w:p>
          <w:p w14:paraId="43BB4B64" w14:textId="77777777" w:rsidR="00F264D6" w:rsidRPr="004A7C10" w:rsidRDefault="00F264D6" w:rsidP="00F264D6">
            <w:pPr>
              <w:numPr>
                <w:ilvl w:val="0"/>
                <w:numId w:val="14"/>
              </w:numPr>
              <w:pBdr>
                <w:top w:val="nil"/>
                <w:left w:val="nil"/>
                <w:bottom w:val="nil"/>
                <w:right w:val="nil"/>
                <w:between w:val="nil"/>
              </w:pBdr>
              <w:spacing w:line="332" w:lineRule="auto"/>
              <w:ind w:right="20"/>
              <w:jc w:val="both"/>
            </w:pPr>
            <w:r w:rsidRPr="004A7C10">
              <w:rPr>
                <w:color w:val="000000"/>
              </w:rPr>
              <w:t xml:space="preserve">Smaga </w:t>
            </w:r>
            <w:proofErr w:type="spellStart"/>
            <w:r w:rsidRPr="004A7C10">
              <w:rPr>
                <w:color w:val="000000"/>
              </w:rPr>
              <w:t>demence</w:t>
            </w:r>
            <w:proofErr w:type="spellEnd"/>
          </w:p>
          <w:p w14:paraId="034817CB" w14:textId="77777777" w:rsidR="00F264D6" w:rsidRPr="004A7C10" w:rsidRDefault="00F264D6" w:rsidP="00C72186">
            <w:pPr>
              <w:ind w:left="174" w:hanging="174"/>
            </w:pPr>
            <w:r w:rsidRPr="004A7C10">
              <w:t xml:space="preserve">- Smaga asinsrites mazspēja, kas ir noturīga (hipotensija un/vai pastāvīgi nepietiekama </w:t>
            </w:r>
            <w:r w:rsidRPr="004A7C10">
              <w:lastRenderedPageBreak/>
              <w:t xml:space="preserve">orgānu </w:t>
            </w:r>
            <w:proofErr w:type="spellStart"/>
            <w:r w:rsidRPr="004A7C10">
              <w:t>perfūzija</w:t>
            </w:r>
            <w:proofErr w:type="spellEnd"/>
            <w:r w:rsidRPr="004A7C10">
              <w:t xml:space="preserve">) pret ārstnieciskajiem pasākumiem, ieskaitot palielinātu vazoaktīvo medikamentu devu, kā arī masīvu </w:t>
            </w:r>
            <w:proofErr w:type="spellStart"/>
            <w:r w:rsidRPr="004A7C10">
              <w:t>ekstrakorporālu</w:t>
            </w:r>
            <w:proofErr w:type="spellEnd"/>
            <w:r w:rsidRPr="004A7C10">
              <w:t xml:space="preserve"> atbalsta terapiju</w:t>
            </w:r>
          </w:p>
        </w:tc>
        <w:tc>
          <w:tcPr>
            <w:tcW w:w="4675" w:type="dxa"/>
          </w:tcPr>
          <w:p w14:paraId="7FC57FC3" w14:textId="77777777" w:rsidR="00F264D6" w:rsidRPr="004A7C10" w:rsidRDefault="00F264D6" w:rsidP="00C72186">
            <w:r w:rsidRPr="004A7C10">
              <w:rPr>
                <w:b/>
              </w:rPr>
              <w:lastRenderedPageBreak/>
              <w:t>Papildu</w:t>
            </w:r>
            <w:r w:rsidRPr="004A7C10">
              <w:t xml:space="preserve"> tiek izmantoti šādi kritēriji:</w:t>
            </w:r>
          </w:p>
          <w:p w14:paraId="56C364CF" w14:textId="77777777" w:rsidR="00F264D6" w:rsidRPr="004A7C10" w:rsidRDefault="00F264D6" w:rsidP="00C72186">
            <w:pPr>
              <w:ind w:left="172" w:hanging="142"/>
              <w:rPr>
                <w:strike/>
              </w:rPr>
            </w:pPr>
            <w:r w:rsidRPr="004A7C10">
              <w:t>- Klīniskā trausluma skalas (</w:t>
            </w:r>
            <w:r w:rsidRPr="004A7C10">
              <w:rPr>
                <w:i/>
              </w:rPr>
              <w:t>CFS</w:t>
            </w:r>
            <w:r w:rsidRPr="004A7C10">
              <w:t xml:space="preserve">) rādītājs ≥ 6 </w:t>
            </w:r>
          </w:p>
          <w:p w14:paraId="20FF4B9E" w14:textId="77777777" w:rsidR="00F264D6" w:rsidRPr="004A7C10" w:rsidRDefault="00F264D6" w:rsidP="00C72186">
            <w:pPr>
              <w:ind w:left="172" w:hanging="142"/>
            </w:pPr>
            <w:r w:rsidRPr="004A7C10">
              <w:t xml:space="preserve">- Smaga trauma ar augstu </w:t>
            </w:r>
            <w:proofErr w:type="spellStart"/>
            <w:r w:rsidRPr="004A7C10">
              <w:t>mortalitātes</w:t>
            </w:r>
            <w:proofErr w:type="spellEnd"/>
            <w:r w:rsidRPr="004A7C10">
              <w:t xml:space="preserve"> risku</w:t>
            </w:r>
          </w:p>
          <w:p w14:paraId="7D04ADE2" w14:textId="77777777" w:rsidR="00F264D6" w:rsidRPr="004A7C10" w:rsidRDefault="00F264D6" w:rsidP="00C72186">
            <w:pPr>
              <w:ind w:left="172" w:hanging="142"/>
            </w:pPr>
            <w:r w:rsidRPr="004A7C10">
              <w:t>- Smagi apdegumi (&gt; 40% no visa skartās ķermeņa virsmas) ar inhalācijas ievainojumu</w:t>
            </w:r>
          </w:p>
          <w:p w14:paraId="378FADDD" w14:textId="77777777" w:rsidR="00F264D6" w:rsidRPr="004A7C10" w:rsidRDefault="00F264D6" w:rsidP="00C72186">
            <w:pPr>
              <w:ind w:left="172" w:hanging="142"/>
            </w:pPr>
            <w:r w:rsidRPr="004A7C10">
              <w:t>- Smags CNS deficīts pēc insulta (NIHSS skala &gt; 14 pēc optimālas akūta insulta ārstēšanas)</w:t>
            </w:r>
          </w:p>
          <w:p w14:paraId="1E0DCD61" w14:textId="77777777" w:rsidR="00F264D6" w:rsidRPr="004A7C10" w:rsidRDefault="00F264D6" w:rsidP="00C72186">
            <w:pPr>
              <w:ind w:left="172" w:hanging="142"/>
            </w:pPr>
            <w:r w:rsidRPr="004A7C10">
              <w:t>- Hroniskas slimības</w:t>
            </w:r>
          </w:p>
          <w:p w14:paraId="128CD0C4" w14:textId="77777777" w:rsidR="00F264D6" w:rsidRPr="004A7C10" w:rsidRDefault="00F264D6" w:rsidP="00F264D6">
            <w:pPr>
              <w:numPr>
                <w:ilvl w:val="0"/>
                <w:numId w:val="12"/>
              </w:numPr>
              <w:pBdr>
                <w:top w:val="nil"/>
                <w:left w:val="nil"/>
                <w:bottom w:val="nil"/>
                <w:right w:val="nil"/>
                <w:between w:val="nil"/>
              </w:pBdr>
              <w:spacing w:line="332" w:lineRule="auto"/>
              <w:ind w:right="20"/>
              <w:jc w:val="both"/>
            </w:pPr>
            <w:r w:rsidRPr="004A7C10">
              <w:rPr>
                <w:color w:val="000000"/>
              </w:rPr>
              <w:t>NYHA III klases sirds mazspēja uz optimālas terapijas fona</w:t>
            </w:r>
          </w:p>
          <w:p w14:paraId="3F31B077" w14:textId="77777777" w:rsidR="00F264D6" w:rsidRPr="004A7C10" w:rsidRDefault="00F264D6" w:rsidP="00F264D6">
            <w:pPr>
              <w:numPr>
                <w:ilvl w:val="0"/>
                <w:numId w:val="12"/>
              </w:numPr>
              <w:pBdr>
                <w:top w:val="nil"/>
                <w:left w:val="nil"/>
                <w:bottom w:val="nil"/>
                <w:right w:val="nil"/>
                <w:between w:val="nil"/>
              </w:pBdr>
              <w:spacing w:line="332" w:lineRule="auto"/>
              <w:ind w:right="20"/>
              <w:jc w:val="both"/>
            </w:pPr>
            <w:r w:rsidRPr="004A7C10">
              <w:rPr>
                <w:color w:val="000000"/>
              </w:rPr>
              <w:t>HOPS GOLD 4 (D) vai HOPS A–D ar FEV</w:t>
            </w:r>
            <w:r w:rsidRPr="004A7C10">
              <w:rPr>
                <w:color w:val="000000"/>
                <w:sz w:val="16"/>
                <w:szCs w:val="16"/>
              </w:rPr>
              <w:t>1</w:t>
            </w:r>
            <w:r w:rsidRPr="004A7C10">
              <w:rPr>
                <w:color w:val="000000"/>
              </w:rPr>
              <w:t xml:space="preserve"> &lt; 25% vai </w:t>
            </w:r>
            <w:proofErr w:type="spellStart"/>
            <w:r w:rsidRPr="004A7C10">
              <w:rPr>
                <w:i/>
                <w:color w:val="000000"/>
              </w:rPr>
              <w:t>cor</w:t>
            </w:r>
            <w:proofErr w:type="spellEnd"/>
            <w:r w:rsidRPr="004A7C10">
              <w:rPr>
                <w:i/>
                <w:color w:val="000000"/>
              </w:rPr>
              <w:t xml:space="preserve"> </w:t>
            </w:r>
            <w:proofErr w:type="spellStart"/>
            <w:r w:rsidRPr="004A7C10">
              <w:rPr>
                <w:i/>
                <w:color w:val="000000"/>
              </w:rPr>
              <w:t>pulmonale</w:t>
            </w:r>
            <w:proofErr w:type="spellEnd"/>
            <w:r w:rsidRPr="004A7C10">
              <w:rPr>
                <w:color w:val="000000"/>
              </w:rPr>
              <w:t xml:space="preserve"> vai mājas skābekļa terapija (ilgstoša skābekļa terapija)</w:t>
            </w:r>
          </w:p>
          <w:p w14:paraId="704BA716" w14:textId="77777777" w:rsidR="00F264D6" w:rsidRPr="004A7C10" w:rsidRDefault="00F264D6" w:rsidP="00F264D6">
            <w:pPr>
              <w:numPr>
                <w:ilvl w:val="0"/>
                <w:numId w:val="12"/>
              </w:numPr>
              <w:pBdr>
                <w:top w:val="nil"/>
                <w:left w:val="nil"/>
                <w:bottom w:val="nil"/>
                <w:right w:val="nil"/>
                <w:between w:val="nil"/>
              </w:pBdr>
              <w:spacing w:line="332" w:lineRule="auto"/>
              <w:ind w:right="20"/>
              <w:jc w:val="both"/>
            </w:pPr>
            <w:r w:rsidRPr="004A7C10">
              <w:rPr>
                <w:color w:val="000000"/>
              </w:rPr>
              <w:t>Aknu ciroze (</w:t>
            </w:r>
            <w:proofErr w:type="spellStart"/>
            <w:r w:rsidRPr="004A7C10">
              <w:rPr>
                <w:i/>
                <w:color w:val="000000"/>
              </w:rPr>
              <w:t>Child-Pugh</w:t>
            </w:r>
            <w:proofErr w:type="spellEnd"/>
            <w:r w:rsidRPr="004A7C10">
              <w:rPr>
                <w:color w:val="000000"/>
              </w:rPr>
              <w:t xml:space="preserve"> C klase) ar </w:t>
            </w:r>
            <w:proofErr w:type="spellStart"/>
            <w:r w:rsidRPr="004A7C10">
              <w:rPr>
                <w:color w:val="000000"/>
              </w:rPr>
              <w:t>refraktāru</w:t>
            </w:r>
            <w:proofErr w:type="spellEnd"/>
            <w:r w:rsidRPr="004A7C10">
              <w:rPr>
                <w:color w:val="000000"/>
              </w:rPr>
              <w:t xml:space="preserve"> </w:t>
            </w:r>
            <w:proofErr w:type="spellStart"/>
            <w:r w:rsidRPr="004A7C10">
              <w:rPr>
                <w:color w:val="000000"/>
              </w:rPr>
              <w:t>ascītu</w:t>
            </w:r>
            <w:proofErr w:type="spellEnd"/>
            <w:r w:rsidRPr="004A7C10">
              <w:rPr>
                <w:color w:val="000000"/>
              </w:rPr>
              <w:t xml:space="preserve"> vai encefalopātiju &gt; I pakāpi</w:t>
            </w:r>
          </w:p>
          <w:p w14:paraId="2155D960" w14:textId="77777777" w:rsidR="00F264D6" w:rsidRPr="004A7C10" w:rsidRDefault="00F264D6" w:rsidP="00F264D6">
            <w:pPr>
              <w:numPr>
                <w:ilvl w:val="0"/>
                <w:numId w:val="12"/>
              </w:numPr>
              <w:pBdr>
                <w:top w:val="nil"/>
                <w:left w:val="nil"/>
                <w:bottom w:val="nil"/>
                <w:right w:val="nil"/>
                <w:between w:val="nil"/>
              </w:pBdr>
              <w:spacing w:line="332" w:lineRule="auto"/>
              <w:ind w:right="20"/>
              <w:jc w:val="both"/>
            </w:pPr>
            <w:r w:rsidRPr="004A7C10">
              <w:rPr>
                <w:color w:val="000000"/>
              </w:rPr>
              <w:t>IV pakāpe hroniska nieru slimība (KDIGO)</w:t>
            </w:r>
            <w:r w:rsidRPr="004A7C10">
              <w:rPr>
                <w:rFonts w:ascii="Arial" w:eastAsia="Arial" w:hAnsi="Arial" w:cs="Arial"/>
                <w:color w:val="000000"/>
                <w:sz w:val="21"/>
                <w:szCs w:val="21"/>
              </w:rPr>
              <w:t xml:space="preserve"> </w:t>
            </w:r>
            <w:r w:rsidRPr="004A7C10">
              <w:rPr>
                <w:color w:val="000000"/>
                <w:sz w:val="21"/>
                <w:szCs w:val="21"/>
              </w:rPr>
              <w:t>(</w:t>
            </w:r>
            <w:proofErr w:type="spellStart"/>
            <w:r w:rsidRPr="004A7C10">
              <w:rPr>
                <w:color w:val="000000"/>
                <w:sz w:val="21"/>
                <w:szCs w:val="21"/>
              </w:rPr>
              <w:t>eGFR</w:t>
            </w:r>
            <w:proofErr w:type="spellEnd"/>
            <w:r w:rsidRPr="004A7C10">
              <w:rPr>
                <w:color w:val="000000"/>
                <w:sz w:val="21"/>
                <w:szCs w:val="21"/>
              </w:rPr>
              <w:t xml:space="preserve"> &lt;30 </w:t>
            </w:r>
            <w:proofErr w:type="spellStart"/>
            <w:r w:rsidRPr="004A7C10">
              <w:rPr>
                <w:color w:val="000000"/>
                <w:sz w:val="21"/>
                <w:szCs w:val="21"/>
              </w:rPr>
              <w:t>mL</w:t>
            </w:r>
            <w:proofErr w:type="spellEnd"/>
            <w:r w:rsidRPr="004A7C10">
              <w:rPr>
                <w:color w:val="000000"/>
                <w:sz w:val="21"/>
                <w:szCs w:val="21"/>
              </w:rPr>
              <w:t>/min/1.73 m</w:t>
            </w:r>
            <w:r w:rsidRPr="004A7C10">
              <w:rPr>
                <w:color w:val="000000"/>
                <w:sz w:val="27"/>
                <w:szCs w:val="27"/>
                <w:vertAlign w:val="superscript"/>
              </w:rPr>
              <w:t>2</w:t>
            </w:r>
            <w:r w:rsidRPr="004A7C10">
              <w:rPr>
                <w:color w:val="000000"/>
                <w:sz w:val="21"/>
                <w:szCs w:val="21"/>
              </w:rPr>
              <w:t>)</w:t>
            </w:r>
          </w:p>
          <w:p w14:paraId="7580FE61" w14:textId="77777777" w:rsidR="00F264D6" w:rsidRPr="004A7C10" w:rsidRDefault="00F264D6" w:rsidP="00C72186">
            <w:pPr>
              <w:pBdr>
                <w:top w:val="nil"/>
                <w:left w:val="nil"/>
                <w:bottom w:val="nil"/>
                <w:right w:val="nil"/>
                <w:between w:val="nil"/>
              </w:pBdr>
              <w:spacing w:line="332" w:lineRule="auto"/>
              <w:ind w:right="20"/>
              <w:jc w:val="both"/>
            </w:pPr>
          </w:p>
        </w:tc>
      </w:tr>
    </w:tbl>
    <w:p w14:paraId="78F3029E" w14:textId="77777777" w:rsidR="00F264D6" w:rsidRPr="004A7C10" w:rsidRDefault="00F264D6">
      <w:pPr>
        <w:rPr>
          <w:sz w:val="20"/>
          <w:szCs w:val="20"/>
        </w:rPr>
      </w:pPr>
    </w:p>
    <w:p w14:paraId="7207DB46" w14:textId="77777777" w:rsidR="0041298B" w:rsidRPr="004A7C10" w:rsidRDefault="006E26D3">
      <w:pPr>
        <w:pStyle w:val="Heading2"/>
      </w:pPr>
      <w:r w:rsidRPr="004A7C10">
        <w:t xml:space="preserve">5. Pacientu </w:t>
      </w:r>
      <w:proofErr w:type="spellStart"/>
      <w:r w:rsidRPr="004A7C10">
        <w:t>prioritizācija</w:t>
      </w:r>
      <w:proofErr w:type="spellEnd"/>
      <w:r w:rsidRPr="004A7C10">
        <w:t xml:space="preserve"> ITN</w:t>
      </w:r>
    </w:p>
    <w:p w14:paraId="1A002C9A" w14:textId="77777777" w:rsidR="00223E20" w:rsidRDefault="006E26D3">
      <w:pPr>
        <w:spacing w:line="360" w:lineRule="auto"/>
        <w:jc w:val="both"/>
      </w:pPr>
      <w:r w:rsidRPr="004A7C10">
        <w:t>Katru dienu ITN pacienti ir jānovērtē. Ja veselības stāvokļa uzlabošanās nenotiek vai notiek pasliktināšanās un jāizlemj, vai jāmaina ārstēšanas mērķis, lēmumu pieņem starpdisciplinārais kons</w:t>
      </w:r>
      <w:r w:rsidR="00F264D6" w:rsidRPr="004A7C10">
        <w:t>il</w:t>
      </w:r>
      <w:r w:rsidRPr="004A7C10">
        <w:t xml:space="preserve">ijs. </w:t>
      </w:r>
    </w:p>
    <w:p w14:paraId="3273FA47" w14:textId="13BBD69B" w:rsidR="0041298B" w:rsidRPr="004A7C10" w:rsidRDefault="006E26D3">
      <w:pPr>
        <w:spacing w:line="360" w:lineRule="auto"/>
        <w:jc w:val="both"/>
        <w:rPr>
          <w:sz w:val="20"/>
          <w:szCs w:val="20"/>
        </w:rPr>
      </w:pPr>
      <w:r w:rsidRPr="004A7C10">
        <w:rPr>
          <w:b/>
        </w:rPr>
        <w:t xml:space="preserve">Tabula. Pacientu </w:t>
      </w:r>
      <w:proofErr w:type="spellStart"/>
      <w:r w:rsidRPr="004A7C10">
        <w:rPr>
          <w:b/>
        </w:rPr>
        <w:t>prioritizācija</w:t>
      </w:r>
      <w:proofErr w:type="spellEnd"/>
      <w:r w:rsidRPr="004A7C10">
        <w:rPr>
          <w:b/>
        </w:rPr>
        <w:t xml:space="preserve"> ITN</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41298B" w:rsidRPr="004A7C10" w14:paraId="308436D8" w14:textId="77777777">
        <w:tc>
          <w:tcPr>
            <w:tcW w:w="4675" w:type="dxa"/>
          </w:tcPr>
          <w:p w14:paraId="2655345C" w14:textId="77777777" w:rsidR="0041298B" w:rsidRPr="004A7C10" w:rsidRDefault="006E26D3">
            <w:r w:rsidRPr="004A7C10">
              <w:rPr>
                <w:b/>
              </w:rPr>
              <w:t>Kritērijs pacientu pārvešanai no ITN</w:t>
            </w:r>
            <w:r w:rsidRPr="004A7C10">
              <w:t xml:space="preserve"> - spontāni elpojošs pacients ar stabiliem / drošiem elpceļiem 🡪 pacients pārvedams pēc iespējas ātrāk</w:t>
            </w:r>
          </w:p>
        </w:tc>
        <w:tc>
          <w:tcPr>
            <w:tcW w:w="4675" w:type="dxa"/>
          </w:tcPr>
          <w:p w14:paraId="2DC67A99" w14:textId="77777777" w:rsidR="0041298B" w:rsidRPr="004A7C10" w:rsidRDefault="006E26D3">
            <w:r w:rsidRPr="004A7C10">
              <w:rPr>
                <w:b/>
              </w:rPr>
              <w:t xml:space="preserve"> IT jāturpina</w:t>
            </w:r>
            <w:r w:rsidRPr="004A7C10">
              <w:t xml:space="preserve">, ja ir visi 3 kritēriji: </w:t>
            </w:r>
          </w:p>
          <w:p w14:paraId="325A1CDE" w14:textId="77777777" w:rsidR="0041298B" w:rsidRPr="004A7C10" w:rsidRDefault="006E26D3">
            <w:pPr>
              <w:numPr>
                <w:ilvl w:val="0"/>
                <w:numId w:val="6"/>
              </w:numPr>
              <w:pBdr>
                <w:top w:val="nil"/>
                <w:left w:val="nil"/>
                <w:bottom w:val="nil"/>
                <w:right w:val="nil"/>
                <w:between w:val="nil"/>
              </w:pBdr>
              <w:spacing w:line="332" w:lineRule="auto"/>
              <w:ind w:left="455" w:right="20"/>
              <w:jc w:val="both"/>
            </w:pPr>
            <w:proofErr w:type="spellStart"/>
            <w:r w:rsidRPr="004A7C10">
              <w:rPr>
                <w:color w:val="000000"/>
              </w:rPr>
              <w:t>Oksigenācijas</w:t>
            </w:r>
            <w:proofErr w:type="spellEnd"/>
            <w:r w:rsidRPr="004A7C10">
              <w:rPr>
                <w:color w:val="000000"/>
              </w:rPr>
              <w:t xml:space="preserve"> un ventilācijas stabilizācija vai uzlabošanās</w:t>
            </w:r>
          </w:p>
          <w:p w14:paraId="46124FF5" w14:textId="77777777" w:rsidR="0041298B" w:rsidRPr="004A7C10" w:rsidRDefault="006E26D3">
            <w:pPr>
              <w:numPr>
                <w:ilvl w:val="0"/>
                <w:numId w:val="6"/>
              </w:numPr>
              <w:pBdr>
                <w:top w:val="nil"/>
                <w:left w:val="nil"/>
                <w:bottom w:val="nil"/>
                <w:right w:val="nil"/>
                <w:between w:val="nil"/>
              </w:pBdr>
              <w:spacing w:line="332" w:lineRule="auto"/>
              <w:ind w:left="455" w:right="20"/>
              <w:jc w:val="both"/>
            </w:pPr>
            <w:r w:rsidRPr="004A7C10">
              <w:rPr>
                <w:color w:val="000000"/>
              </w:rPr>
              <w:t>Pamata orgānu disfunkcijas stabilizācija vai uzlabošanās</w:t>
            </w:r>
          </w:p>
          <w:p w14:paraId="479245A4" w14:textId="77777777" w:rsidR="0041298B" w:rsidRPr="004A7C10" w:rsidRDefault="006E26D3">
            <w:pPr>
              <w:numPr>
                <w:ilvl w:val="0"/>
                <w:numId w:val="6"/>
              </w:numPr>
              <w:pBdr>
                <w:top w:val="nil"/>
                <w:left w:val="nil"/>
                <w:bottom w:val="nil"/>
                <w:right w:val="nil"/>
                <w:between w:val="nil"/>
              </w:pBdr>
              <w:spacing w:line="332" w:lineRule="auto"/>
              <w:ind w:left="455" w:right="20"/>
              <w:jc w:val="both"/>
            </w:pPr>
            <w:proofErr w:type="spellStart"/>
            <w:r w:rsidRPr="004A7C10">
              <w:rPr>
                <w:color w:val="000000"/>
              </w:rPr>
              <w:t>Hemodinamikas</w:t>
            </w:r>
            <w:proofErr w:type="spellEnd"/>
            <w:r w:rsidRPr="004A7C10">
              <w:rPr>
                <w:color w:val="000000"/>
              </w:rPr>
              <w:t xml:space="preserve"> stabilizēšanās vai uzlabošanās</w:t>
            </w:r>
          </w:p>
          <w:p w14:paraId="51868409" w14:textId="77777777" w:rsidR="0041298B" w:rsidRPr="004A7C10" w:rsidRDefault="006E26D3">
            <w:pPr>
              <w:numPr>
                <w:ilvl w:val="0"/>
                <w:numId w:val="6"/>
              </w:numPr>
              <w:pBdr>
                <w:top w:val="nil"/>
                <w:left w:val="nil"/>
                <w:bottom w:val="nil"/>
                <w:right w:val="nil"/>
                <w:between w:val="nil"/>
              </w:pBdr>
              <w:spacing w:line="332" w:lineRule="auto"/>
              <w:ind w:left="455" w:right="20"/>
              <w:jc w:val="both"/>
            </w:pPr>
            <w:r w:rsidRPr="004A7C10">
              <w:rPr>
                <w:color w:val="000000"/>
              </w:rPr>
              <w:t>Orgānu disfunkcijas mazināšanās</w:t>
            </w:r>
          </w:p>
        </w:tc>
      </w:tr>
      <w:tr w:rsidR="0041298B" w:rsidRPr="004A7C10" w14:paraId="2E1DCAE6" w14:textId="77777777">
        <w:tc>
          <w:tcPr>
            <w:tcW w:w="9350" w:type="dxa"/>
            <w:gridSpan w:val="2"/>
          </w:tcPr>
          <w:p w14:paraId="5B38D3AF" w14:textId="77777777" w:rsidR="0041298B" w:rsidRPr="004A7C10" w:rsidRDefault="006E26D3">
            <w:pPr>
              <w:jc w:val="center"/>
              <w:rPr>
                <w:b/>
              </w:rPr>
            </w:pPr>
            <w:r w:rsidRPr="004A7C10">
              <w:rPr>
                <w:b/>
              </w:rPr>
              <w:t>Ārstēšana INT jāizbeidz</w:t>
            </w:r>
          </w:p>
        </w:tc>
      </w:tr>
      <w:tr w:rsidR="0041298B" w:rsidRPr="004A7C10" w14:paraId="18B5EC9D" w14:textId="77777777">
        <w:tc>
          <w:tcPr>
            <w:tcW w:w="4675" w:type="dxa"/>
          </w:tcPr>
          <w:p w14:paraId="47FDA9BA" w14:textId="77777777" w:rsidR="0041298B" w:rsidRPr="004A7C10" w:rsidRDefault="006E26D3">
            <w:r w:rsidRPr="004A7C10">
              <w:rPr>
                <w:b/>
              </w:rPr>
              <w:t>A situācija</w:t>
            </w:r>
            <w:r w:rsidRPr="004A7C10">
              <w:t xml:space="preserve"> - tiek atrasts viens no zemāk minētajiem kritērijiem:</w:t>
            </w:r>
          </w:p>
          <w:p w14:paraId="69652C0B" w14:textId="77777777" w:rsidR="0041298B" w:rsidRPr="004A7C10" w:rsidRDefault="006E26D3" w:rsidP="009D2142">
            <w:pPr>
              <w:numPr>
                <w:ilvl w:val="0"/>
                <w:numId w:val="15"/>
              </w:numPr>
              <w:pBdr>
                <w:top w:val="nil"/>
                <w:left w:val="nil"/>
                <w:bottom w:val="nil"/>
                <w:right w:val="nil"/>
                <w:between w:val="nil"/>
              </w:pBdr>
              <w:spacing w:line="332" w:lineRule="auto"/>
              <w:ind w:right="20"/>
              <w:jc w:val="both"/>
            </w:pPr>
            <w:r w:rsidRPr="004A7C10">
              <w:rPr>
                <w:color w:val="000000"/>
              </w:rPr>
              <w:t>Atkārtota sirdsdarbības apstāšanās ITN uzturēšanās laikā, neskatoties uz sākotnēji veiksmīgo reanimāciju;</w:t>
            </w:r>
          </w:p>
          <w:p w14:paraId="69579C47" w14:textId="77777777" w:rsidR="0041298B" w:rsidRPr="004A7C10" w:rsidRDefault="006E26D3" w:rsidP="009D2142">
            <w:pPr>
              <w:numPr>
                <w:ilvl w:val="0"/>
                <w:numId w:val="15"/>
              </w:numPr>
              <w:pBdr>
                <w:top w:val="nil"/>
                <w:left w:val="nil"/>
                <w:bottom w:val="nil"/>
                <w:right w:val="nil"/>
                <w:between w:val="nil"/>
              </w:pBdr>
              <w:spacing w:line="332" w:lineRule="auto"/>
              <w:ind w:right="20"/>
              <w:jc w:val="both"/>
            </w:pPr>
            <w:r w:rsidRPr="004A7C10">
              <w:rPr>
                <w:color w:val="000000"/>
              </w:rPr>
              <w:t>Nozīmīgas orgānu mazspējas papildu attīstība ITN uzturēšanās laikā, kas vēl vairāk pasliktina īstermiņa prognozi</w:t>
            </w:r>
          </w:p>
        </w:tc>
        <w:tc>
          <w:tcPr>
            <w:tcW w:w="4675" w:type="dxa"/>
          </w:tcPr>
          <w:p w14:paraId="61133A6A" w14:textId="77777777" w:rsidR="0041298B" w:rsidRPr="004A7C10" w:rsidRDefault="006E26D3">
            <w:r w:rsidRPr="004A7C10">
              <w:rPr>
                <w:b/>
              </w:rPr>
              <w:t>B situācija</w:t>
            </w:r>
            <w:r w:rsidRPr="004A7C10">
              <w:t xml:space="preserve"> - tiek atrasts viens no zemāk minētajiem kritērijiem:</w:t>
            </w:r>
          </w:p>
          <w:p w14:paraId="39B4E08E" w14:textId="77777777" w:rsidR="0041298B" w:rsidRPr="004A7C10" w:rsidRDefault="006E26D3">
            <w:pPr>
              <w:numPr>
                <w:ilvl w:val="0"/>
                <w:numId w:val="5"/>
              </w:numPr>
              <w:pBdr>
                <w:top w:val="nil"/>
                <w:left w:val="nil"/>
                <w:bottom w:val="nil"/>
                <w:right w:val="nil"/>
                <w:between w:val="nil"/>
              </w:pBdr>
              <w:spacing w:line="332" w:lineRule="auto"/>
              <w:ind w:right="20"/>
              <w:jc w:val="both"/>
            </w:pPr>
            <w:r w:rsidRPr="004A7C10">
              <w:rPr>
                <w:color w:val="000000"/>
              </w:rPr>
              <w:t xml:space="preserve">Elpošanas vai </w:t>
            </w:r>
            <w:proofErr w:type="spellStart"/>
            <w:r w:rsidRPr="004A7C10">
              <w:rPr>
                <w:color w:val="000000"/>
              </w:rPr>
              <w:t>hemodinamikas</w:t>
            </w:r>
            <w:proofErr w:type="spellEnd"/>
            <w:r w:rsidRPr="004A7C10">
              <w:rPr>
                <w:color w:val="000000"/>
              </w:rPr>
              <w:t xml:space="preserve"> stāvoklis neuzlabojas (stabilizācija nav pietiekama)</w:t>
            </w:r>
          </w:p>
          <w:p w14:paraId="6B177E93" w14:textId="77777777" w:rsidR="0041298B" w:rsidRPr="004A7C10" w:rsidRDefault="006E26D3">
            <w:pPr>
              <w:numPr>
                <w:ilvl w:val="0"/>
                <w:numId w:val="5"/>
              </w:numPr>
              <w:pBdr>
                <w:top w:val="nil"/>
                <w:left w:val="nil"/>
                <w:bottom w:val="nil"/>
                <w:right w:val="nil"/>
                <w:between w:val="nil"/>
              </w:pBdr>
              <w:spacing w:line="332" w:lineRule="auto"/>
              <w:ind w:right="20"/>
              <w:jc w:val="both"/>
            </w:pPr>
            <w:r w:rsidRPr="004A7C10">
              <w:rPr>
                <w:color w:val="000000"/>
              </w:rPr>
              <w:t xml:space="preserve">Sirdsdarbības apstāšanās ITN uzturēšanās laikā - </w:t>
            </w:r>
            <w:proofErr w:type="spellStart"/>
            <w:r w:rsidRPr="004A7C10">
              <w:rPr>
                <w:color w:val="000000"/>
              </w:rPr>
              <w:t>kardiopulmonālā</w:t>
            </w:r>
            <w:proofErr w:type="spellEnd"/>
            <w:r w:rsidRPr="004A7C10">
              <w:rPr>
                <w:color w:val="000000"/>
              </w:rPr>
              <w:t xml:space="preserve"> reanimācija netiek paredzēta.</w:t>
            </w:r>
          </w:p>
          <w:p w14:paraId="7F5FC92E" w14:textId="77777777" w:rsidR="0041298B" w:rsidRPr="004A7C10" w:rsidRDefault="006E26D3">
            <w:pPr>
              <w:numPr>
                <w:ilvl w:val="0"/>
                <w:numId w:val="5"/>
              </w:numPr>
              <w:pBdr>
                <w:top w:val="nil"/>
                <w:left w:val="nil"/>
                <w:bottom w:val="nil"/>
                <w:right w:val="nil"/>
                <w:between w:val="nil"/>
              </w:pBdr>
              <w:spacing w:line="332" w:lineRule="auto"/>
              <w:ind w:right="20"/>
              <w:jc w:val="both"/>
            </w:pPr>
            <w:r w:rsidRPr="004A7C10">
              <w:rPr>
                <w:color w:val="000000"/>
              </w:rPr>
              <w:t>Divu orgānu mazspējas esamība vai progresēšana, papildu plaušu mazspējai</w:t>
            </w:r>
          </w:p>
        </w:tc>
      </w:tr>
      <w:tr w:rsidR="0041298B" w:rsidRPr="004A7C10" w14:paraId="23DABB89" w14:textId="77777777">
        <w:tc>
          <w:tcPr>
            <w:tcW w:w="9350" w:type="dxa"/>
            <w:gridSpan w:val="2"/>
          </w:tcPr>
          <w:p w14:paraId="1643031A" w14:textId="77777777" w:rsidR="0041298B" w:rsidRPr="004A7C10" w:rsidRDefault="006E26D3">
            <w:r w:rsidRPr="004A7C10">
              <w:rPr>
                <w:i/>
              </w:rPr>
              <w:t>Viena no minēto kritēriju esamība un secīgi ITN terapijas izbeigšana ir indikācija pacienta paliatīvās aprūpes uzsākšanai piemērota profila nodaļā</w:t>
            </w:r>
          </w:p>
        </w:tc>
      </w:tr>
    </w:tbl>
    <w:p w14:paraId="19594E5D" w14:textId="77777777" w:rsidR="0041298B" w:rsidRPr="004A7C10" w:rsidRDefault="006E26D3">
      <w:pPr>
        <w:pStyle w:val="Heading2"/>
      </w:pPr>
      <w:r w:rsidRPr="004A7C10">
        <w:lastRenderedPageBreak/>
        <w:t xml:space="preserve">6. SOFA skala (orgānu mazspējas secīgs novērtējums) un pacientu </w:t>
      </w:r>
      <w:proofErr w:type="spellStart"/>
      <w:r w:rsidRPr="004A7C10">
        <w:t>prioritizācija</w:t>
      </w:r>
      <w:proofErr w:type="spellEnd"/>
    </w:p>
    <w:p w14:paraId="1220063A" w14:textId="77777777" w:rsidR="0041298B" w:rsidRPr="004A7C10" w:rsidRDefault="006E26D3">
      <w:pPr>
        <w:spacing w:line="357" w:lineRule="auto"/>
        <w:ind w:firstLine="566"/>
        <w:jc w:val="both"/>
      </w:pPr>
      <w:r w:rsidRPr="004A7C10">
        <w:t>Lai arī pastāv dažādi ieteikumi attiecībā par vērtēšanas skalām, pētījumos ir demonstrēts, ka SOFA skala ļauj prognozēt mirstības risku.</w:t>
      </w:r>
    </w:p>
    <w:p w14:paraId="719B9AA3" w14:textId="0A19D2ED" w:rsidR="0041298B" w:rsidRPr="004A7C10" w:rsidRDefault="006E26D3">
      <w:pPr>
        <w:spacing w:line="357" w:lineRule="auto"/>
        <w:ind w:firstLine="566"/>
        <w:jc w:val="both"/>
        <w:rPr>
          <w:highlight w:val="yellow"/>
        </w:rPr>
      </w:pPr>
      <w:r w:rsidRPr="004A7C10">
        <w:t>SOFA rādītājs jāreģistrē visiem smagiem pacientiem uzņemšanas laikā un pēc 48 un 120 stundām.</w:t>
      </w:r>
    </w:p>
    <w:p w14:paraId="79884890" w14:textId="77777777" w:rsidR="0041298B" w:rsidRPr="004A7C10" w:rsidRDefault="006E26D3">
      <w:pPr>
        <w:pStyle w:val="Heading3"/>
      </w:pPr>
      <w:bookmarkStart w:id="1" w:name="_30j0zll" w:colFirst="0" w:colLast="0"/>
      <w:bookmarkEnd w:id="1"/>
      <w:r w:rsidRPr="004A7C10">
        <w:t>6.1. SOFA izmeklējums I (uzņemšana)</w:t>
      </w:r>
    </w:p>
    <w:p w14:paraId="7C54A522" w14:textId="77777777" w:rsidR="0041298B" w:rsidRPr="004A7C10" w:rsidRDefault="0041298B"/>
    <w:p w14:paraId="56500E0C" w14:textId="77777777" w:rsidR="0041298B" w:rsidRPr="004A7C10" w:rsidRDefault="006E26D3">
      <w:pPr>
        <w:jc w:val="center"/>
      </w:pPr>
      <w:r w:rsidRPr="004A7C10">
        <w:rPr>
          <w:noProof/>
          <w:lang w:eastAsia="lv-LV"/>
        </w:rPr>
        <w:drawing>
          <wp:inline distT="0" distB="0" distL="0" distR="0" wp14:anchorId="40BAAD0E" wp14:editId="548DD3F1">
            <wp:extent cx="4636400" cy="3462438"/>
            <wp:effectExtent l="0" t="0" r="0"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4636400" cy="3462438"/>
                    </a:xfrm>
                    <a:prstGeom prst="rect">
                      <a:avLst/>
                    </a:prstGeom>
                    <a:ln/>
                  </pic:spPr>
                </pic:pic>
              </a:graphicData>
            </a:graphic>
          </wp:inline>
        </w:drawing>
      </w:r>
    </w:p>
    <w:p w14:paraId="5837D692" w14:textId="77777777" w:rsidR="0041298B" w:rsidRPr="004A7C10" w:rsidRDefault="006E26D3">
      <w:pPr>
        <w:pStyle w:val="Heading3"/>
      </w:pPr>
      <w:r w:rsidRPr="004A7C10">
        <w:lastRenderedPageBreak/>
        <w:t>6.2. SOFA II izmeklējums (48 stundas)</w:t>
      </w:r>
    </w:p>
    <w:p w14:paraId="712F94AC" w14:textId="77777777" w:rsidR="0041298B" w:rsidRPr="004A7C10" w:rsidRDefault="006E26D3">
      <w:pPr>
        <w:spacing w:line="360" w:lineRule="auto"/>
        <w:ind w:right="23"/>
        <w:jc w:val="center"/>
      </w:pPr>
      <w:r w:rsidRPr="004A7C10">
        <w:rPr>
          <w:noProof/>
          <w:lang w:eastAsia="lv-LV"/>
        </w:rPr>
        <w:drawing>
          <wp:inline distT="0" distB="0" distL="0" distR="0" wp14:anchorId="6008A6EE" wp14:editId="46F8E542">
            <wp:extent cx="4597477" cy="4051772"/>
            <wp:effectExtent l="0" t="0" r="0" b="0"/>
            <wp:docPr id="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4597477" cy="4051772"/>
                    </a:xfrm>
                    <a:prstGeom prst="rect">
                      <a:avLst/>
                    </a:prstGeom>
                    <a:ln/>
                  </pic:spPr>
                </pic:pic>
              </a:graphicData>
            </a:graphic>
          </wp:inline>
        </w:drawing>
      </w:r>
    </w:p>
    <w:p w14:paraId="4967916E" w14:textId="77777777" w:rsidR="0041298B" w:rsidRPr="004A7C10" w:rsidRDefault="006E26D3">
      <w:pPr>
        <w:pStyle w:val="Heading3"/>
      </w:pPr>
      <w:r w:rsidRPr="004A7C10">
        <w:t>6.2. SOFA III izmeklējums (120 stundas)</w:t>
      </w:r>
    </w:p>
    <w:p w14:paraId="2543080C" w14:textId="77777777" w:rsidR="0041298B" w:rsidRPr="004A7C10" w:rsidRDefault="006E26D3">
      <w:pPr>
        <w:tabs>
          <w:tab w:val="left" w:pos="720"/>
        </w:tabs>
        <w:ind w:left="720"/>
        <w:jc w:val="center"/>
        <w:rPr>
          <w:sz w:val="23"/>
          <w:szCs w:val="23"/>
        </w:rPr>
      </w:pPr>
      <w:r w:rsidRPr="004A7C10">
        <w:rPr>
          <w:noProof/>
          <w:lang w:eastAsia="lv-LV"/>
        </w:rPr>
        <w:drawing>
          <wp:inline distT="0" distB="0" distL="0" distR="0" wp14:anchorId="557FE4ED" wp14:editId="267E2AAC">
            <wp:extent cx="4680135" cy="2044059"/>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4680135" cy="2044059"/>
                    </a:xfrm>
                    <a:prstGeom prst="rect">
                      <a:avLst/>
                    </a:prstGeom>
                    <a:ln/>
                  </pic:spPr>
                </pic:pic>
              </a:graphicData>
            </a:graphic>
          </wp:inline>
        </w:drawing>
      </w:r>
    </w:p>
    <w:p w14:paraId="17987B18" w14:textId="77777777" w:rsidR="0041298B" w:rsidRPr="004A7C10" w:rsidRDefault="006E26D3">
      <w:pPr>
        <w:jc w:val="center"/>
      </w:pPr>
      <w:r w:rsidRPr="004A7C10">
        <w:rPr>
          <w:noProof/>
          <w:lang w:eastAsia="lv-LV"/>
        </w:rPr>
        <w:lastRenderedPageBreak/>
        <w:drawing>
          <wp:inline distT="0" distB="0" distL="0" distR="0" wp14:anchorId="5137C267" wp14:editId="6329D2EA">
            <wp:extent cx="5097262" cy="2584979"/>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097262" cy="2584979"/>
                    </a:xfrm>
                    <a:prstGeom prst="rect">
                      <a:avLst/>
                    </a:prstGeom>
                    <a:ln/>
                  </pic:spPr>
                </pic:pic>
              </a:graphicData>
            </a:graphic>
          </wp:inline>
        </w:drawing>
      </w:r>
    </w:p>
    <w:p w14:paraId="4CA84A20" w14:textId="77777777" w:rsidR="00F264D6" w:rsidRPr="004A7C10" w:rsidRDefault="00F264D6">
      <w:pPr>
        <w:spacing w:line="375" w:lineRule="auto"/>
        <w:ind w:left="1" w:firstLine="566"/>
        <w:jc w:val="both"/>
      </w:pPr>
    </w:p>
    <w:p w14:paraId="4FB70D2D" w14:textId="55CF7EEB" w:rsidR="0041298B" w:rsidRPr="004A7C10" w:rsidRDefault="006E26D3">
      <w:pPr>
        <w:spacing w:line="375" w:lineRule="auto"/>
        <w:ind w:left="1" w:firstLine="566"/>
        <w:jc w:val="both"/>
      </w:pPr>
      <w:r w:rsidRPr="004A7C10">
        <w:t xml:space="preserve">Ja pacientam attīstās stāvoklis, kas atbilst kontrindikācijām, pacienta </w:t>
      </w:r>
      <w:proofErr w:type="spellStart"/>
      <w:r w:rsidRPr="004A7C10">
        <w:t>prioritizācijas</w:t>
      </w:r>
      <w:proofErr w:type="spellEnd"/>
      <w:r w:rsidRPr="004A7C10">
        <w:t xml:space="preserve"> kategorija tiek nomainīt</w:t>
      </w:r>
      <w:r w:rsidR="0005357C">
        <w:t>a</w:t>
      </w:r>
      <w:r w:rsidRPr="004A7C10">
        <w:t xml:space="preserve"> uz zilo kategoriju. Tādos gadījumos tiek atcelta MPV un uzsākta alternatīva ārstēšana vai paliatīvā terapija. Ja pacientam nav indicēta MPV vai tā tiek </w:t>
      </w:r>
      <w:proofErr w:type="spellStart"/>
      <w:r w:rsidRPr="004A7C10">
        <w:t>prioritizēta</w:t>
      </w:r>
      <w:proofErr w:type="spellEnd"/>
      <w:r w:rsidRPr="004A7C10">
        <w:t xml:space="preserve"> citām pacientu grupām pēc šī algoritma, viņam ir jāsaņem kvalitatīva paliatīvā aprūpe, kas atvieglo un novērš simptomus, ieskaitot ne-farmakoloģiskās un farmakoloģiskās elpas trūkuma ārstēšanas metodes.</w:t>
      </w:r>
    </w:p>
    <w:p w14:paraId="4A44F6E4" w14:textId="77777777" w:rsidR="0041298B" w:rsidRPr="004A7C10" w:rsidRDefault="006E26D3">
      <w:pPr>
        <w:spacing w:line="354" w:lineRule="auto"/>
        <w:ind w:left="1" w:firstLine="566"/>
        <w:jc w:val="both"/>
      </w:pPr>
      <w:r w:rsidRPr="004A7C10">
        <w:t>Vienas kategorijas pacientus salīdzināt savā starpā nav pamatoti, un uz visiem vienas kategorijas pacientiem attiecas plānotā ārstēšanas taktika, proti, SOFA rādītājs 6 vai 7 neatspoguļo, ka viens ir vairāk prioritārs nekā otrs pacients (15).</w:t>
      </w:r>
    </w:p>
    <w:p w14:paraId="5815F3D7" w14:textId="5B99590A" w:rsidR="0041298B" w:rsidRDefault="006E26D3" w:rsidP="00C9798E">
      <w:pPr>
        <w:spacing w:line="350" w:lineRule="auto"/>
        <w:ind w:left="1" w:firstLine="566"/>
        <w:jc w:val="both"/>
      </w:pPr>
      <w:r w:rsidRPr="004A7C10">
        <w:t xml:space="preserve">Pēc 120 stundu </w:t>
      </w:r>
      <w:proofErr w:type="spellStart"/>
      <w:r w:rsidRPr="004A7C10">
        <w:t>stacionēšanas</w:t>
      </w:r>
      <w:proofErr w:type="spellEnd"/>
      <w:r w:rsidRPr="004A7C10">
        <w:t xml:space="preserve"> turpina pacientu izvērtēšanu ik 48 stundas ar SOFA skalas palīdzību un pārskata </w:t>
      </w:r>
      <w:proofErr w:type="spellStart"/>
      <w:r w:rsidRPr="004A7C10">
        <w:t>prioritizēšanu</w:t>
      </w:r>
      <w:proofErr w:type="spellEnd"/>
      <w:r w:rsidRPr="004A7C10">
        <w:t xml:space="preserve"> un tālāko ārstēšanu.</w:t>
      </w:r>
    </w:p>
    <w:p w14:paraId="24F9B54B" w14:textId="77777777" w:rsidR="00285DDB" w:rsidRDefault="00285DDB" w:rsidP="00C9798E">
      <w:pPr>
        <w:spacing w:line="350" w:lineRule="auto"/>
        <w:ind w:left="1" w:firstLine="566"/>
        <w:jc w:val="both"/>
      </w:pPr>
    </w:p>
    <w:p w14:paraId="0E48FC8C" w14:textId="77777777" w:rsidR="00C9798E" w:rsidRDefault="00C9798E">
      <w:pPr>
        <w:pStyle w:val="Heading2"/>
      </w:pPr>
      <w:r>
        <w:br w:type="page"/>
      </w:r>
    </w:p>
    <w:p w14:paraId="5D385532" w14:textId="58ECC4DB" w:rsidR="0041298B" w:rsidRPr="004A7C10" w:rsidRDefault="006E26D3">
      <w:pPr>
        <w:pStyle w:val="Heading2"/>
      </w:pPr>
      <w:r w:rsidRPr="004A7C10">
        <w:lastRenderedPageBreak/>
        <w:t xml:space="preserve"> Izmantotā literatūra</w:t>
      </w:r>
    </w:p>
    <w:p w14:paraId="2D8A5E5A" w14:textId="1EB2F837" w:rsidR="0041298B" w:rsidRPr="004A7C10" w:rsidRDefault="006E26D3" w:rsidP="00C93D0B">
      <w:pPr>
        <w:numPr>
          <w:ilvl w:val="0"/>
          <w:numId w:val="11"/>
        </w:numPr>
        <w:tabs>
          <w:tab w:val="left" w:pos="561"/>
        </w:tabs>
        <w:ind w:left="561" w:hanging="561"/>
      </w:pPr>
      <w:r w:rsidRPr="004A7C10">
        <w:t xml:space="preserve">Bērnu paliatīvās aprūpes klīniskās vadlīnijas. </w:t>
      </w:r>
      <w:proofErr w:type="spellStart"/>
      <w:r w:rsidRPr="004A7C10">
        <w:rPr>
          <w:i/>
        </w:rPr>
        <w:t>Bērnu</w:t>
      </w:r>
      <w:proofErr w:type="spellEnd"/>
      <w:r w:rsidRPr="004A7C10">
        <w:rPr>
          <w:i/>
        </w:rPr>
        <w:t xml:space="preserve"> </w:t>
      </w:r>
      <w:proofErr w:type="spellStart"/>
      <w:r w:rsidRPr="004A7C10">
        <w:rPr>
          <w:i/>
        </w:rPr>
        <w:t>paliatīvās</w:t>
      </w:r>
      <w:proofErr w:type="spellEnd"/>
      <w:r w:rsidRPr="004A7C10">
        <w:rPr>
          <w:i/>
        </w:rPr>
        <w:t xml:space="preserve"> </w:t>
      </w:r>
      <w:proofErr w:type="spellStart"/>
      <w:r w:rsidRPr="004A7C10">
        <w:rPr>
          <w:i/>
        </w:rPr>
        <w:t>aprūpes</w:t>
      </w:r>
      <w:proofErr w:type="spellEnd"/>
      <w:r w:rsidRPr="004A7C10">
        <w:rPr>
          <w:i/>
        </w:rPr>
        <w:t xml:space="preserve"> </w:t>
      </w:r>
      <w:proofErr w:type="spellStart"/>
      <w:r w:rsidRPr="004A7C10">
        <w:rPr>
          <w:i/>
        </w:rPr>
        <w:t>biedrība</w:t>
      </w:r>
      <w:proofErr w:type="spellEnd"/>
      <w:r w:rsidRPr="004A7C10">
        <w:t>, 2012.</w:t>
      </w:r>
    </w:p>
    <w:p w14:paraId="30525E31" w14:textId="77777777" w:rsidR="0041298B" w:rsidRPr="004A7C10" w:rsidRDefault="006E26D3">
      <w:pPr>
        <w:numPr>
          <w:ilvl w:val="0"/>
          <w:numId w:val="11"/>
        </w:numPr>
        <w:tabs>
          <w:tab w:val="left" w:pos="561"/>
        </w:tabs>
        <w:ind w:left="561" w:hanging="561"/>
      </w:pPr>
      <w:proofErr w:type="spellStart"/>
      <w:r w:rsidRPr="004A7C10">
        <w:t>Biddison</w:t>
      </w:r>
      <w:proofErr w:type="spellEnd"/>
      <w:r w:rsidRPr="004A7C10">
        <w:t xml:space="preserve">, E. L. D.,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Too</w:t>
      </w:r>
      <w:proofErr w:type="spellEnd"/>
      <w:r w:rsidRPr="004A7C10">
        <w:t xml:space="preserve"> </w:t>
      </w:r>
      <w:proofErr w:type="spellStart"/>
      <w:r w:rsidRPr="004A7C10">
        <w:t>Many</w:t>
      </w:r>
      <w:proofErr w:type="spellEnd"/>
      <w:r w:rsidRPr="004A7C10">
        <w:t xml:space="preserve"> </w:t>
      </w:r>
      <w:proofErr w:type="spellStart"/>
      <w:r w:rsidRPr="004A7C10">
        <w:t>Patients</w:t>
      </w:r>
      <w:proofErr w:type="spellEnd"/>
      <w:r w:rsidRPr="004A7C10">
        <w:t xml:space="preserve">… A </w:t>
      </w:r>
      <w:proofErr w:type="spellStart"/>
      <w:r w:rsidRPr="004A7C10">
        <w:t>Framework</w:t>
      </w:r>
      <w:proofErr w:type="spellEnd"/>
      <w:r w:rsidRPr="004A7C10">
        <w:t xml:space="preserve"> to </w:t>
      </w:r>
      <w:proofErr w:type="spellStart"/>
      <w:r w:rsidRPr="004A7C10">
        <w:t>Guide</w:t>
      </w:r>
      <w:proofErr w:type="spellEnd"/>
      <w:r w:rsidRPr="004A7C10">
        <w:t xml:space="preserve"> </w:t>
      </w:r>
      <w:proofErr w:type="spellStart"/>
      <w:r w:rsidRPr="004A7C10">
        <w:t>Statewide</w:t>
      </w:r>
      <w:proofErr w:type="spellEnd"/>
      <w:r w:rsidRPr="004A7C10">
        <w:t xml:space="preserve"> </w:t>
      </w:r>
      <w:proofErr w:type="spellStart"/>
      <w:r w:rsidRPr="004A7C10">
        <w:t>Allocation</w:t>
      </w:r>
      <w:proofErr w:type="spellEnd"/>
      <w:r w:rsidRPr="004A7C10">
        <w:t xml:space="preserve"> </w:t>
      </w:r>
      <w:proofErr w:type="spellStart"/>
      <w:r w:rsidRPr="004A7C10">
        <w:t>of</w:t>
      </w:r>
      <w:proofErr w:type="spellEnd"/>
      <w:r w:rsidRPr="004A7C10">
        <w:t xml:space="preserve"> </w:t>
      </w:r>
      <w:proofErr w:type="spellStart"/>
      <w:r w:rsidRPr="004A7C10">
        <w:t>Scarce</w:t>
      </w:r>
      <w:proofErr w:type="spellEnd"/>
      <w:r w:rsidRPr="004A7C10">
        <w:t xml:space="preserve"> </w:t>
      </w:r>
      <w:proofErr w:type="spellStart"/>
      <w:r w:rsidRPr="004A7C10">
        <w:t>Mechanical</w:t>
      </w:r>
      <w:proofErr w:type="spellEnd"/>
      <w:r w:rsidRPr="004A7C10">
        <w:t xml:space="preserve"> </w:t>
      </w:r>
      <w:proofErr w:type="spellStart"/>
      <w:r w:rsidRPr="004A7C10">
        <w:t>Ventilation</w:t>
      </w:r>
      <w:proofErr w:type="spellEnd"/>
      <w:r w:rsidRPr="004A7C10">
        <w:t xml:space="preserve"> </w:t>
      </w:r>
      <w:proofErr w:type="spellStart"/>
      <w:r w:rsidRPr="004A7C10">
        <w:t>During</w:t>
      </w:r>
      <w:proofErr w:type="spellEnd"/>
      <w:r w:rsidRPr="004A7C10">
        <w:t xml:space="preserve"> </w:t>
      </w:r>
      <w:proofErr w:type="spellStart"/>
      <w:r w:rsidRPr="004A7C10">
        <w:t>Disasters</w:t>
      </w:r>
      <w:proofErr w:type="spellEnd"/>
      <w:r w:rsidRPr="004A7C10">
        <w:t xml:space="preserve">. </w:t>
      </w:r>
      <w:proofErr w:type="spellStart"/>
      <w:r w:rsidRPr="004A7C10">
        <w:rPr>
          <w:i/>
        </w:rPr>
        <w:t>Chest</w:t>
      </w:r>
      <w:proofErr w:type="spellEnd"/>
      <w:r w:rsidRPr="004A7C10">
        <w:t>, 2019, 155.4: 848-854.</w:t>
      </w:r>
    </w:p>
    <w:p w14:paraId="62F439D1" w14:textId="77777777" w:rsidR="0041298B" w:rsidRPr="004A7C10" w:rsidRDefault="006E26D3">
      <w:pPr>
        <w:numPr>
          <w:ilvl w:val="0"/>
          <w:numId w:val="11"/>
        </w:numPr>
        <w:tabs>
          <w:tab w:val="left" w:pos="561"/>
        </w:tabs>
        <w:ind w:left="561" w:right="2500" w:hanging="561"/>
      </w:pPr>
      <w:proofErr w:type="spellStart"/>
      <w:r w:rsidRPr="004A7C10">
        <w:t>Child-Turcotte-Pugh</w:t>
      </w:r>
      <w:proofErr w:type="spellEnd"/>
      <w:r w:rsidRPr="004A7C10">
        <w:t xml:space="preserve"> (CTP) </w:t>
      </w:r>
      <w:proofErr w:type="spellStart"/>
      <w:r w:rsidRPr="004A7C10">
        <w:t>Calculator</w:t>
      </w:r>
      <w:proofErr w:type="spellEnd"/>
      <w:r w:rsidRPr="004A7C10">
        <w:t xml:space="preserve">, </w:t>
      </w:r>
      <w:proofErr w:type="spellStart"/>
      <w:r w:rsidRPr="004A7C10">
        <w:t>Hepatitis</w:t>
      </w:r>
      <w:proofErr w:type="spellEnd"/>
      <w:r w:rsidRPr="004A7C10">
        <w:t xml:space="preserve"> C Online, 2020. </w:t>
      </w:r>
      <w:r w:rsidRPr="004A7C10">
        <w:rPr>
          <w:color w:val="0000FF"/>
          <w:u w:val="single"/>
        </w:rPr>
        <w:t>https://www.hepatitisc.uw.edu/page/clinical-calculators/ctp</w:t>
      </w:r>
    </w:p>
    <w:p w14:paraId="4E5AF3B9" w14:textId="77777777" w:rsidR="0041298B" w:rsidRPr="004A7C10" w:rsidRDefault="006E26D3">
      <w:pPr>
        <w:numPr>
          <w:ilvl w:val="0"/>
          <w:numId w:val="11"/>
        </w:numPr>
        <w:tabs>
          <w:tab w:val="left" w:pos="561"/>
        </w:tabs>
        <w:ind w:left="561" w:right="20" w:hanging="561"/>
      </w:pPr>
      <w:proofErr w:type="spellStart"/>
      <w:r w:rsidRPr="004A7C10">
        <w:t>Clinical</w:t>
      </w:r>
      <w:proofErr w:type="spellEnd"/>
      <w:r w:rsidRPr="004A7C10">
        <w:t xml:space="preserve"> </w:t>
      </w:r>
      <w:proofErr w:type="spellStart"/>
      <w:r w:rsidRPr="004A7C10">
        <w:t>Ethics</w:t>
      </w:r>
      <w:proofErr w:type="spellEnd"/>
      <w:r w:rsidRPr="004A7C10">
        <w:t xml:space="preserve"> </w:t>
      </w:r>
      <w:proofErr w:type="spellStart"/>
      <w:r w:rsidRPr="004A7C10">
        <w:t>Recommendations</w:t>
      </w:r>
      <w:proofErr w:type="spellEnd"/>
      <w:r w:rsidRPr="004A7C10">
        <w:t xml:space="preserve"> </w:t>
      </w:r>
      <w:proofErr w:type="spellStart"/>
      <w:r w:rsidRPr="004A7C10">
        <w:t>for</w:t>
      </w:r>
      <w:proofErr w:type="spellEnd"/>
      <w:r w:rsidRPr="004A7C10">
        <w:t xml:space="preserve"> </w:t>
      </w:r>
      <w:proofErr w:type="spellStart"/>
      <w:r w:rsidRPr="004A7C10">
        <w:t>the</w:t>
      </w:r>
      <w:proofErr w:type="spellEnd"/>
      <w:r w:rsidRPr="004A7C10">
        <w:t xml:space="preserve"> </w:t>
      </w:r>
      <w:proofErr w:type="spellStart"/>
      <w:r w:rsidRPr="004A7C10">
        <w:t>Allocation</w:t>
      </w:r>
      <w:proofErr w:type="spellEnd"/>
      <w:r w:rsidRPr="004A7C10">
        <w:t xml:space="preserve"> </w:t>
      </w:r>
      <w:proofErr w:type="spellStart"/>
      <w:r w:rsidRPr="004A7C10">
        <w:t>of</w:t>
      </w:r>
      <w:proofErr w:type="spellEnd"/>
      <w:r w:rsidRPr="004A7C10">
        <w:t xml:space="preserve"> </w:t>
      </w:r>
      <w:proofErr w:type="spellStart"/>
      <w:r w:rsidRPr="004A7C10">
        <w:t>Intensive</w:t>
      </w:r>
      <w:proofErr w:type="spellEnd"/>
      <w:r w:rsidRPr="004A7C10">
        <w:t xml:space="preserve"> </w:t>
      </w:r>
      <w:proofErr w:type="spellStart"/>
      <w:r w:rsidRPr="004A7C10">
        <w:t>Care</w:t>
      </w:r>
      <w:proofErr w:type="spellEnd"/>
      <w:r w:rsidRPr="004A7C10">
        <w:t xml:space="preserve"> </w:t>
      </w:r>
      <w:proofErr w:type="spellStart"/>
      <w:r w:rsidRPr="004A7C10">
        <w:t>Treatments</w:t>
      </w:r>
      <w:proofErr w:type="spellEnd"/>
      <w:r w:rsidRPr="004A7C10">
        <w:t xml:space="preserve"> in </w:t>
      </w:r>
      <w:proofErr w:type="spellStart"/>
      <w:r w:rsidRPr="004A7C10">
        <w:t>Exceptional</w:t>
      </w:r>
      <w:proofErr w:type="spellEnd"/>
      <w:r w:rsidRPr="004A7C10">
        <w:t xml:space="preserve">, </w:t>
      </w:r>
      <w:proofErr w:type="spellStart"/>
      <w:r w:rsidRPr="004A7C10">
        <w:t>Resource-limited</w:t>
      </w:r>
      <w:proofErr w:type="spellEnd"/>
      <w:r w:rsidRPr="004A7C10">
        <w:t xml:space="preserve"> </w:t>
      </w:r>
      <w:proofErr w:type="spellStart"/>
      <w:r w:rsidRPr="004A7C10">
        <w:t>Circumstances</w:t>
      </w:r>
      <w:proofErr w:type="spellEnd"/>
      <w:r w:rsidRPr="004A7C10">
        <w:t xml:space="preserve">. </w:t>
      </w:r>
      <w:r w:rsidRPr="004A7C10">
        <w:rPr>
          <w:i/>
        </w:rPr>
        <w:t>SIAARTI</w:t>
      </w:r>
      <w:r w:rsidRPr="004A7C10">
        <w:t xml:space="preserve">, </w:t>
      </w:r>
      <w:proofErr w:type="spellStart"/>
      <w:r w:rsidRPr="004A7C10">
        <w:t>Version</w:t>
      </w:r>
      <w:proofErr w:type="spellEnd"/>
      <w:r w:rsidRPr="004A7C10">
        <w:t xml:space="preserve"> no. 1, </w:t>
      </w:r>
      <w:proofErr w:type="spellStart"/>
      <w:r w:rsidRPr="004A7C10">
        <w:t>March</w:t>
      </w:r>
      <w:proofErr w:type="spellEnd"/>
      <w:r w:rsidRPr="004A7C10">
        <w:t xml:space="preserve"> 16, 2020.</w:t>
      </w:r>
    </w:p>
    <w:p w14:paraId="1244D029" w14:textId="77777777" w:rsidR="0041298B" w:rsidRPr="004A7C10" w:rsidRDefault="006E26D3">
      <w:pPr>
        <w:numPr>
          <w:ilvl w:val="0"/>
          <w:numId w:val="11"/>
        </w:numPr>
        <w:tabs>
          <w:tab w:val="left" w:pos="561"/>
        </w:tabs>
        <w:ind w:left="561" w:hanging="561"/>
      </w:pPr>
      <w:r w:rsidRPr="004A7C10">
        <w:t xml:space="preserve">Emanuel, E. J.,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Fair</w:t>
      </w:r>
      <w:proofErr w:type="spellEnd"/>
      <w:r w:rsidRPr="004A7C10">
        <w:t xml:space="preserve"> </w:t>
      </w:r>
      <w:proofErr w:type="spellStart"/>
      <w:r w:rsidRPr="004A7C10">
        <w:t>allocation</w:t>
      </w:r>
      <w:proofErr w:type="spellEnd"/>
      <w:r w:rsidRPr="004A7C10">
        <w:t xml:space="preserve"> </w:t>
      </w:r>
      <w:proofErr w:type="spellStart"/>
      <w:r w:rsidRPr="004A7C10">
        <w:t>of</w:t>
      </w:r>
      <w:proofErr w:type="spellEnd"/>
      <w:r w:rsidRPr="004A7C10">
        <w:t xml:space="preserve"> </w:t>
      </w:r>
      <w:proofErr w:type="spellStart"/>
      <w:r w:rsidRPr="004A7C10">
        <w:t>scarce</w:t>
      </w:r>
      <w:proofErr w:type="spellEnd"/>
      <w:r w:rsidRPr="004A7C10">
        <w:t xml:space="preserve"> </w:t>
      </w:r>
      <w:proofErr w:type="spellStart"/>
      <w:r w:rsidRPr="004A7C10">
        <w:t>medical</w:t>
      </w:r>
      <w:proofErr w:type="spellEnd"/>
      <w:r w:rsidRPr="004A7C10">
        <w:t xml:space="preserve"> </w:t>
      </w:r>
      <w:proofErr w:type="spellStart"/>
      <w:r w:rsidRPr="004A7C10">
        <w:t>resources</w:t>
      </w:r>
      <w:proofErr w:type="spellEnd"/>
      <w:r w:rsidRPr="004A7C10">
        <w:t xml:space="preserve"> in </w:t>
      </w:r>
      <w:proofErr w:type="spellStart"/>
      <w:r w:rsidRPr="004A7C10">
        <w:t>the</w:t>
      </w:r>
      <w:proofErr w:type="spellEnd"/>
      <w:r w:rsidRPr="004A7C10">
        <w:t xml:space="preserve"> </w:t>
      </w:r>
      <w:proofErr w:type="spellStart"/>
      <w:r w:rsidRPr="004A7C10">
        <w:t>time</w:t>
      </w:r>
      <w:proofErr w:type="spellEnd"/>
      <w:r w:rsidRPr="004A7C10">
        <w:t xml:space="preserve"> </w:t>
      </w:r>
      <w:proofErr w:type="spellStart"/>
      <w:r w:rsidRPr="004A7C10">
        <w:t>of</w:t>
      </w:r>
      <w:proofErr w:type="spellEnd"/>
      <w:r w:rsidRPr="004A7C10">
        <w:t xml:space="preserve"> Covid-19. </w:t>
      </w:r>
      <w:proofErr w:type="spellStart"/>
      <w:r w:rsidRPr="004A7C10">
        <w:rPr>
          <w:i/>
        </w:rPr>
        <w:t>The</w:t>
      </w:r>
      <w:proofErr w:type="spellEnd"/>
      <w:r w:rsidRPr="004A7C10">
        <w:t xml:space="preserve"> </w:t>
      </w:r>
      <w:proofErr w:type="spellStart"/>
      <w:r w:rsidRPr="004A7C10">
        <w:rPr>
          <w:i/>
        </w:rPr>
        <w:t>New</w:t>
      </w:r>
      <w:proofErr w:type="spellEnd"/>
      <w:r w:rsidRPr="004A7C10">
        <w:rPr>
          <w:i/>
        </w:rPr>
        <w:t xml:space="preserve"> England </w:t>
      </w:r>
      <w:proofErr w:type="spellStart"/>
      <w:r w:rsidRPr="004A7C10">
        <w:rPr>
          <w:i/>
        </w:rPr>
        <w:t>Journal</w:t>
      </w:r>
      <w:proofErr w:type="spellEnd"/>
      <w:r w:rsidRPr="004A7C10">
        <w:rPr>
          <w:i/>
        </w:rPr>
        <w:t xml:space="preserve"> </w:t>
      </w:r>
      <w:proofErr w:type="spellStart"/>
      <w:r w:rsidRPr="004A7C10">
        <w:rPr>
          <w:i/>
        </w:rPr>
        <w:t>of</w:t>
      </w:r>
      <w:proofErr w:type="spellEnd"/>
      <w:r w:rsidRPr="004A7C10">
        <w:rPr>
          <w:i/>
        </w:rPr>
        <w:t xml:space="preserve"> </w:t>
      </w:r>
      <w:proofErr w:type="spellStart"/>
      <w:r w:rsidRPr="004A7C10">
        <w:rPr>
          <w:i/>
        </w:rPr>
        <w:t>Medicine</w:t>
      </w:r>
      <w:proofErr w:type="spellEnd"/>
      <w:r w:rsidRPr="004A7C10">
        <w:t>, 2020.</w:t>
      </w:r>
    </w:p>
    <w:p w14:paraId="74F26119" w14:textId="77777777" w:rsidR="0041298B" w:rsidRPr="004A7C10" w:rsidRDefault="006E26D3">
      <w:pPr>
        <w:numPr>
          <w:ilvl w:val="0"/>
          <w:numId w:val="11"/>
        </w:numPr>
        <w:tabs>
          <w:tab w:val="left" w:pos="561"/>
        </w:tabs>
        <w:ind w:left="561" w:hanging="561"/>
        <w:jc w:val="both"/>
      </w:pPr>
      <w:proofErr w:type="spellStart"/>
      <w:r w:rsidRPr="004A7C10">
        <w:t>Ethical</w:t>
      </w:r>
      <w:proofErr w:type="spellEnd"/>
      <w:r w:rsidRPr="004A7C10">
        <w:t xml:space="preserve"> </w:t>
      </w:r>
      <w:proofErr w:type="spellStart"/>
      <w:r w:rsidRPr="004A7C10">
        <w:t>Framework</w:t>
      </w:r>
      <w:proofErr w:type="spellEnd"/>
      <w:r w:rsidRPr="004A7C10">
        <w:t xml:space="preserve"> </w:t>
      </w:r>
      <w:proofErr w:type="spellStart"/>
      <w:r w:rsidRPr="004A7C10">
        <w:t>for</w:t>
      </w:r>
      <w:proofErr w:type="spellEnd"/>
      <w:r w:rsidRPr="004A7C10">
        <w:t xml:space="preserve"> Health </w:t>
      </w:r>
      <w:proofErr w:type="spellStart"/>
      <w:r w:rsidRPr="004A7C10">
        <w:t>Care</w:t>
      </w:r>
      <w:proofErr w:type="spellEnd"/>
      <w:r w:rsidRPr="004A7C10">
        <w:t xml:space="preserve"> </w:t>
      </w:r>
      <w:proofErr w:type="spellStart"/>
      <w:r w:rsidRPr="004A7C10">
        <w:t>Institutions</w:t>
      </w:r>
      <w:proofErr w:type="spellEnd"/>
      <w:r w:rsidRPr="004A7C10">
        <w:t xml:space="preserve"> </w:t>
      </w:r>
      <w:proofErr w:type="spellStart"/>
      <w:r w:rsidRPr="004A7C10">
        <w:t>Responding</w:t>
      </w:r>
      <w:proofErr w:type="spellEnd"/>
      <w:r w:rsidRPr="004A7C10">
        <w:t xml:space="preserve"> to Novel </w:t>
      </w:r>
      <w:proofErr w:type="spellStart"/>
      <w:r w:rsidRPr="004A7C10">
        <w:t>Coronavirus</w:t>
      </w:r>
      <w:proofErr w:type="spellEnd"/>
      <w:r w:rsidRPr="004A7C10">
        <w:t xml:space="preserve"> SARS-CoV-2 (COVID-19). </w:t>
      </w:r>
      <w:proofErr w:type="spellStart"/>
      <w:r w:rsidRPr="004A7C10">
        <w:t>Guidelines</w:t>
      </w:r>
      <w:proofErr w:type="spellEnd"/>
      <w:r w:rsidRPr="004A7C10">
        <w:t xml:space="preserve"> </w:t>
      </w:r>
      <w:proofErr w:type="spellStart"/>
      <w:r w:rsidRPr="004A7C10">
        <w:t>for</w:t>
      </w:r>
      <w:proofErr w:type="spellEnd"/>
      <w:r w:rsidRPr="004A7C10">
        <w:t xml:space="preserve"> </w:t>
      </w:r>
      <w:proofErr w:type="spellStart"/>
      <w:r w:rsidRPr="004A7C10">
        <w:t>Institutional</w:t>
      </w:r>
      <w:proofErr w:type="spellEnd"/>
      <w:r w:rsidRPr="004A7C10">
        <w:t xml:space="preserve"> </w:t>
      </w:r>
      <w:proofErr w:type="spellStart"/>
      <w:r w:rsidRPr="004A7C10">
        <w:t>Ethics</w:t>
      </w:r>
      <w:proofErr w:type="spellEnd"/>
      <w:r w:rsidRPr="004A7C10">
        <w:t xml:space="preserve"> Services </w:t>
      </w:r>
      <w:proofErr w:type="spellStart"/>
      <w:r w:rsidRPr="004A7C10">
        <w:t>Responding</w:t>
      </w:r>
      <w:proofErr w:type="spellEnd"/>
      <w:r w:rsidRPr="004A7C10">
        <w:t xml:space="preserve"> to COVID-19. </w:t>
      </w:r>
      <w:proofErr w:type="spellStart"/>
      <w:r w:rsidRPr="004A7C10">
        <w:t>Managing</w:t>
      </w:r>
      <w:proofErr w:type="spellEnd"/>
      <w:r w:rsidRPr="004A7C10">
        <w:t xml:space="preserve"> </w:t>
      </w:r>
      <w:proofErr w:type="spellStart"/>
      <w:r w:rsidRPr="004A7C10">
        <w:t>Uncertainty</w:t>
      </w:r>
      <w:proofErr w:type="spellEnd"/>
      <w:r w:rsidRPr="004A7C10">
        <w:t xml:space="preserve">, </w:t>
      </w:r>
      <w:proofErr w:type="spellStart"/>
      <w:r w:rsidRPr="004A7C10">
        <w:t>Safeguarding</w:t>
      </w:r>
      <w:proofErr w:type="spellEnd"/>
      <w:r w:rsidRPr="004A7C10">
        <w:t xml:space="preserve"> </w:t>
      </w:r>
      <w:proofErr w:type="spellStart"/>
      <w:r w:rsidRPr="004A7C10">
        <w:t>Communities</w:t>
      </w:r>
      <w:proofErr w:type="spellEnd"/>
      <w:r w:rsidRPr="004A7C10">
        <w:t xml:space="preserve">, </w:t>
      </w:r>
      <w:proofErr w:type="spellStart"/>
      <w:r w:rsidRPr="004A7C10">
        <w:t>Guiding</w:t>
      </w:r>
      <w:proofErr w:type="spellEnd"/>
      <w:r w:rsidRPr="004A7C10">
        <w:t xml:space="preserve"> </w:t>
      </w:r>
      <w:proofErr w:type="spellStart"/>
      <w:r w:rsidRPr="004A7C10">
        <w:t>Practice</w:t>
      </w:r>
      <w:proofErr w:type="spellEnd"/>
      <w:r w:rsidRPr="004A7C10">
        <w:t xml:space="preserve">. </w:t>
      </w:r>
      <w:proofErr w:type="spellStart"/>
      <w:r w:rsidRPr="004A7C10">
        <w:rPr>
          <w:i/>
        </w:rPr>
        <w:t>The</w:t>
      </w:r>
      <w:proofErr w:type="spellEnd"/>
      <w:r w:rsidRPr="004A7C10">
        <w:rPr>
          <w:i/>
        </w:rPr>
        <w:t xml:space="preserve"> </w:t>
      </w:r>
      <w:proofErr w:type="spellStart"/>
      <w:r w:rsidRPr="004A7C10">
        <w:rPr>
          <w:i/>
        </w:rPr>
        <w:t>Hastings</w:t>
      </w:r>
      <w:proofErr w:type="spellEnd"/>
      <w:r w:rsidRPr="004A7C10">
        <w:rPr>
          <w:i/>
        </w:rPr>
        <w:t xml:space="preserve"> </w:t>
      </w:r>
      <w:proofErr w:type="spellStart"/>
      <w:r w:rsidRPr="004A7C10">
        <w:rPr>
          <w:i/>
        </w:rPr>
        <w:t>Center</w:t>
      </w:r>
      <w:proofErr w:type="spellEnd"/>
      <w:r w:rsidRPr="004A7C10">
        <w:t xml:space="preserve">, </w:t>
      </w:r>
      <w:proofErr w:type="spellStart"/>
      <w:r w:rsidRPr="004A7C10">
        <w:t>March</w:t>
      </w:r>
      <w:proofErr w:type="spellEnd"/>
      <w:r w:rsidRPr="004A7C10">
        <w:t xml:space="preserve"> 16, 2020.</w:t>
      </w:r>
    </w:p>
    <w:p w14:paraId="118402BB" w14:textId="77777777" w:rsidR="0041298B" w:rsidRPr="004A7C10" w:rsidRDefault="006E26D3">
      <w:pPr>
        <w:numPr>
          <w:ilvl w:val="0"/>
          <w:numId w:val="11"/>
        </w:numPr>
        <w:tabs>
          <w:tab w:val="left" w:pos="561"/>
        </w:tabs>
        <w:ind w:left="561" w:hanging="561"/>
      </w:pPr>
      <w:proofErr w:type="spellStart"/>
      <w:r w:rsidRPr="004A7C10">
        <w:t>Grīsle</w:t>
      </w:r>
      <w:proofErr w:type="spellEnd"/>
      <w:r w:rsidRPr="004A7C10">
        <w:t xml:space="preserve"> I, </w:t>
      </w:r>
      <w:proofErr w:type="spellStart"/>
      <w:r w:rsidRPr="004A7C10">
        <w:t>Pētermane</w:t>
      </w:r>
      <w:proofErr w:type="spellEnd"/>
      <w:r w:rsidRPr="004A7C10">
        <w:t xml:space="preserve"> I. HOPS ārstēšana jauno vadlīniju gaismā. </w:t>
      </w:r>
      <w:proofErr w:type="spellStart"/>
      <w:r w:rsidRPr="004A7C10">
        <w:rPr>
          <w:i/>
        </w:rPr>
        <w:t>Doctus</w:t>
      </w:r>
      <w:proofErr w:type="spellEnd"/>
      <w:r w:rsidRPr="004A7C10">
        <w:t>, 2017, novembris.</w:t>
      </w:r>
    </w:p>
    <w:p w14:paraId="10698326" w14:textId="77777777" w:rsidR="0041298B" w:rsidRPr="004A7C10" w:rsidRDefault="006E26D3">
      <w:pPr>
        <w:numPr>
          <w:ilvl w:val="0"/>
          <w:numId w:val="11"/>
        </w:numPr>
        <w:tabs>
          <w:tab w:val="left" w:pos="561"/>
        </w:tabs>
        <w:ind w:left="561" w:hanging="561"/>
      </w:pPr>
      <w:proofErr w:type="spellStart"/>
      <w:r w:rsidRPr="004A7C10">
        <w:t>Hick</w:t>
      </w:r>
      <w:proofErr w:type="spellEnd"/>
      <w:r w:rsidRPr="004A7C10">
        <w:t xml:space="preserve">, </w:t>
      </w:r>
      <w:proofErr w:type="spellStart"/>
      <w:r w:rsidRPr="004A7C10">
        <w:t>John</w:t>
      </w:r>
      <w:proofErr w:type="spellEnd"/>
      <w:r w:rsidRPr="004A7C10">
        <w:t xml:space="preserve"> L.,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Duty</w:t>
      </w:r>
      <w:proofErr w:type="spellEnd"/>
      <w:r w:rsidRPr="004A7C10">
        <w:t xml:space="preserve"> to </w:t>
      </w:r>
      <w:proofErr w:type="spellStart"/>
      <w:r w:rsidRPr="004A7C10">
        <w:t>Plan</w:t>
      </w:r>
      <w:proofErr w:type="spellEnd"/>
      <w:r w:rsidRPr="004A7C10">
        <w:t xml:space="preserve">: Health </w:t>
      </w:r>
      <w:proofErr w:type="spellStart"/>
      <w:r w:rsidRPr="004A7C10">
        <w:t>Care</w:t>
      </w:r>
      <w:proofErr w:type="spellEnd"/>
      <w:r w:rsidRPr="004A7C10">
        <w:t xml:space="preserve">, </w:t>
      </w:r>
      <w:proofErr w:type="spellStart"/>
      <w:r w:rsidRPr="004A7C10">
        <w:t>Crisis</w:t>
      </w:r>
      <w:proofErr w:type="spellEnd"/>
      <w:r w:rsidRPr="004A7C10">
        <w:t xml:space="preserve"> </w:t>
      </w:r>
      <w:proofErr w:type="spellStart"/>
      <w:r w:rsidRPr="004A7C10">
        <w:t>Standards</w:t>
      </w:r>
      <w:proofErr w:type="spellEnd"/>
      <w:r w:rsidRPr="004A7C10">
        <w:t xml:space="preserve"> </w:t>
      </w:r>
      <w:proofErr w:type="spellStart"/>
      <w:r w:rsidRPr="004A7C10">
        <w:t>of</w:t>
      </w:r>
      <w:proofErr w:type="spellEnd"/>
      <w:r w:rsidRPr="004A7C10">
        <w:t xml:space="preserve"> </w:t>
      </w:r>
      <w:proofErr w:type="spellStart"/>
      <w:r w:rsidRPr="004A7C10">
        <w:t>Care</w:t>
      </w:r>
      <w:proofErr w:type="spellEnd"/>
      <w:r w:rsidRPr="004A7C10">
        <w:t xml:space="preserve">, </w:t>
      </w:r>
      <w:proofErr w:type="spellStart"/>
      <w:r w:rsidRPr="004A7C10">
        <w:t>and</w:t>
      </w:r>
      <w:proofErr w:type="spellEnd"/>
      <w:r w:rsidRPr="004A7C10">
        <w:t xml:space="preserve"> Novel </w:t>
      </w:r>
      <w:proofErr w:type="spellStart"/>
      <w:r w:rsidRPr="004A7C10">
        <w:t>Coronavirus</w:t>
      </w:r>
      <w:proofErr w:type="spellEnd"/>
      <w:r w:rsidRPr="004A7C10">
        <w:t xml:space="preserve"> SARS-CoV-2. </w:t>
      </w:r>
      <w:r w:rsidRPr="004A7C10">
        <w:rPr>
          <w:i/>
        </w:rPr>
        <w:t xml:space="preserve">NAM </w:t>
      </w:r>
      <w:proofErr w:type="spellStart"/>
      <w:r w:rsidRPr="004A7C10">
        <w:rPr>
          <w:i/>
        </w:rPr>
        <w:t>Perspectives</w:t>
      </w:r>
      <w:proofErr w:type="spellEnd"/>
      <w:r w:rsidRPr="004A7C10">
        <w:t xml:space="preserve">, </w:t>
      </w:r>
      <w:proofErr w:type="spellStart"/>
      <w:r w:rsidRPr="004A7C10">
        <w:t>March</w:t>
      </w:r>
      <w:proofErr w:type="spellEnd"/>
      <w:r w:rsidRPr="004A7C10">
        <w:t xml:space="preserve"> 5, 2020.</w:t>
      </w:r>
    </w:p>
    <w:p w14:paraId="3AD8F9A9" w14:textId="77777777" w:rsidR="0041298B" w:rsidRPr="004A7C10" w:rsidRDefault="006E26D3">
      <w:pPr>
        <w:numPr>
          <w:ilvl w:val="0"/>
          <w:numId w:val="11"/>
        </w:numPr>
        <w:tabs>
          <w:tab w:val="left" w:pos="561"/>
        </w:tabs>
        <w:ind w:left="561" w:hanging="561"/>
      </w:pPr>
      <w:r w:rsidRPr="004A7C10">
        <w:t xml:space="preserve">Hroniskas sirds mazspējas klīniskās vadlīnijas, </w:t>
      </w:r>
      <w:r w:rsidRPr="004A7C10">
        <w:rPr>
          <w:i/>
        </w:rPr>
        <w:t xml:space="preserve">Latvijas Kardiologu </w:t>
      </w:r>
      <w:proofErr w:type="spellStart"/>
      <w:r w:rsidRPr="004A7C10">
        <w:rPr>
          <w:i/>
        </w:rPr>
        <w:t>biedrība</w:t>
      </w:r>
      <w:proofErr w:type="spellEnd"/>
      <w:r w:rsidRPr="004A7C10">
        <w:t>, 2012.</w:t>
      </w:r>
    </w:p>
    <w:p w14:paraId="30EE8C5B" w14:textId="77777777" w:rsidR="0041298B" w:rsidRPr="004A7C10" w:rsidRDefault="006E26D3">
      <w:pPr>
        <w:numPr>
          <w:ilvl w:val="0"/>
          <w:numId w:val="11"/>
        </w:numPr>
        <w:tabs>
          <w:tab w:val="left" w:pos="561"/>
        </w:tabs>
        <w:ind w:left="561" w:hanging="561"/>
      </w:pPr>
      <w:proofErr w:type="spellStart"/>
      <w:r w:rsidRPr="004A7C10">
        <w:t>Konzept</w:t>
      </w:r>
      <w:proofErr w:type="spellEnd"/>
      <w:r w:rsidRPr="004A7C10">
        <w:t xml:space="preserve"> </w:t>
      </w:r>
      <w:proofErr w:type="spellStart"/>
      <w:r w:rsidRPr="004A7C10">
        <w:t>zur</w:t>
      </w:r>
      <w:proofErr w:type="spellEnd"/>
      <w:r w:rsidRPr="004A7C10">
        <w:t xml:space="preserve"> </w:t>
      </w:r>
      <w:proofErr w:type="spellStart"/>
      <w:r w:rsidRPr="004A7C10">
        <w:t>Triage</w:t>
      </w:r>
      <w:proofErr w:type="spellEnd"/>
      <w:r w:rsidRPr="004A7C10">
        <w:t xml:space="preserve"> von </w:t>
      </w:r>
      <w:proofErr w:type="spellStart"/>
      <w:r w:rsidRPr="004A7C10">
        <w:t>intensivpflichtigen</w:t>
      </w:r>
      <w:proofErr w:type="spellEnd"/>
      <w:r w:rsidRPr="004A7C10">
        <w:t xml:space="preserve"> </w:t>
      </w:r>
      <w:proofErr w:type="spellStart"/>
      <w:r w:rsidRPr="004A7C10">
        <w:t>Patienten</w:t>
      </w:r>
      <w:proofErr w:type="spellEnd"/>
      <w:r w:rsidRPr="004A7C10">
        <w:t xml:space="preserve"> in </w:t>
      </w:r>
      <w:proofErr w:type="spellStart"/>
      <w:r w:rsidRPr="004A7C10">
        <w:t>Vorarlberg</w:t>
      </w:r>
      <w:proofErr w:type="spellEnd"/>
      <w:r w:rsidRPr="004A7C10">
        <w:t xml:space="preserve"> (COVID-</w:t>
      </w:r>
      <w:proofErr w:type="spellStart"/>
      <w:r w:rsidRPr="004A7C10">
        <w:t>Pandemie</w:t>
      </w:r>
      <w:proofErr w:type="spellEnd"/>
      <w:r w:rsidRPr="004A7C10">
        <w:t>),</w:t>
      </w:r>
    </w:p>
    <w:p w14:paraId="4A8B4F3B" w14:textId="77777777" w:rsidR="0041298B" w:rsidRPr="004A7C10" w:rsidRDefault="006E26D3">
      <w:pPr>
        <w:ind w:firstLine="561"/>
      </w:pPr>
      <w:proofErr w:type="spellStart"/>
      <w:r w:rsidRPr="004A7C10">
        <w:rPr>
          <w:color w:val="222222"/>
        </w:rPr>
        <w:t>Österreich</w:t>
      </w:r>
      <w:proofErr w:type="spellEnd"/>
      <w:r w:rsidRPr="004A7C10">
        <w:rPr>
          <w:color w:val="222222"/>
        </w:rPr>
        <w:t>, 2020.</w:t>
      </w:r>
    </w:p>
    <w:p w14:paraId="5D6B71E8" w14:textId="77777777" w:rsidR="0041298B" w:rsidRPr="004A7C10" w:rsidRDefault="006E26D3">
      <w:pPr>
        <w:numPr>
          <w:ilvl w:val="0"/>
          <w:numId w:val="11"/>
        </w:numPr>
        <w:tabs>
          <w:tab w:val="left" w:pos="561"/>
        </w:tabs>
        <w:ind w:left="561" w:hanging="561"/>
      </w:pPr>
      <w:proofErr w:type="spellStart"/>
      <w:r w:rsidRPr="004A7C10">
        <w:t>Lambden</w:t>
      </w:r>
      <w:proofErr w:type="spellEnd"/>
      <w:r w:rsidRPr="004A7C10">
        <w:t xml:space="preserve">, S.,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The</w:t>
      </w:r>
      <w:proofErr w:type="spellEnd"/>
      <w:r w:rsidRPr="004A7C10">
        <w:t xml:space="preserve"> SOFA </w:t>
      </w:r>
      <w:proofErr w:type="spellStart"/>
      <w:r w:rsidRPr="004A7C10">
        <w:t>Score-development</w:t>
      </w:r>
      <w:proofErr w:type="spellEnd"/>
      <w:r w:rsidRPr="004A7C10">
        <w:t xml:space="preserve">, </w:t>
      </w:r>
      <w:proofErr w:type="spellStart"/>
      <w:r w:rsidRPr="004A7C10">
        <w:t>Utility</w:t>
      </w:r>
      <w:proofErr w:type="spellEnd"/>
      <w:r w:rsidRPr="004A7C10">
        <w:t xml:space="preserve"> </w:t>
      </w:r>
      <w:proofErr w:type="spellStart"/>
      <w:r w:rsidRPr="004A7C10">
        <w:t>and</w:t>
      </w:r>
      <w:proofErr w:type="spellEnd"/>
      <w:r w:rsidRPr="004A7C10">
        <w:t xml:space="preserve"> </w:t>
      </w:r>
      <w:proofErr w:type="spellStart"/>
      <w:r w:rsidRPr="004A7C10">
        <w:t>Challenges</w:t>
      </w:r>
      <w:proofErr w:type="spellEnd"/>
      <w:r w:rsidRPr="004A7C10">
        <w:t xml:space="preserve"> </w:t>
      </w:r>
      <w:proofErr w:type="spellStart"/>
      <w:r w:rsidRPr="004A7C10">
        <w:t>of</w:t>
      </w:r>
      <w:proofErr w:type="spellEnd"/>
      <w:r w:rsidRPr="004A7C10">
        <w:t xml:space="preserve"> </w:t>
      </w:r>
      <w:proofErr w:type="spellStart"/>
      <w:r w:rsidRPr="004A7C10">
        <w:t>Accurate</w:t>
      </w:r>
      <w:proofErr w:type="spellEnd"/>
      <w:r w:rsidRPr="004A7C10">
        <w:t xml:space="preserve"> </w:t>
      </w:r>
      <w:proofErr w:type="spellStart"/>
      <w:r w:rsidRPr="004A7C10">
        <w:t>Assessment</w:t>
      </w:r>
      <w:proofErr w:type="spellEnd"/>
      <w:r w:rsidRPr="004A7C10">
        <w:t xml:space="preserve"> in </w:t>
      </w:r>
      <w:proofErr w:type="spellStart"/>
      <w:r w:rsidRPr="004A7C10">
        <w:t>Clinical</w:t>
      </w:r>
      <w:proofErr w:type="spellEnd"/>
      <w:r w:rsidRPr="004A7C10">
        <w:t xml:space="preserve"> </w:t>
      </w:r>
      <w:proofErr w:type="spellStart"/>
      <w:r w:rsidRPr="004A7C10">
        <w:t>Trials</w:t>
      </w:r>
      <w:proofErr w:type="spellEnd"/>
      <w:r w:rsidRPr="004A7C10">
        <w:t xml:space="preserve">. </w:t>
      </w:r>
      <w:proofErr w:type="spellStart"/>
      <w:r w:rsidRPr="004A7C10">
        <w:rPr>
          <w:i/>
        </w:rPr>
        <w:t>Critical</w:t>
      </w:r>
      <w:proofErr w:type="spellEnd"/>
      <w:r w:rsidRPr="004A7C10">
        <w:rPr>
          <w:i/>
        </w:rPr>
        <w:t xml:space="preserve"> </w:t>
      </w:r>
      <w:proofErr w:type="spellStart"/>
      <w:r w:rsidRPr="004A7C10">
        <w:rPr>
          <w:i/>
        </w:rPr>
        <w:t>Care</w:t>
      </w:r>
      <w:proofErr w:type="spellEnd"/>
      <w:r w:rsidRPr="004A7C10">
        <w:t>, 2019, 23.1: 1-9.</w:t>
      </w:r>
    </w:p>
    <w:p w14:paraId="7DFDCB90" w14:textId="77777777" w:rsidR="0041298B" w:rsidRPr="004A7C10" w:rsidRDefault="006E26D3">
      <w:pPr>
        <w:numPr>
          <w:ilvl w:val="0"/>
          <w:numId w:val="11"/>
        </w:numPr>
        <w:tabs>
          <w:tab w:val="left" w:pos="561"/>
        </w:tabs>
        <w:ind w:left="561" w:hanging="561"/>
      </w:pPr>
      <w:r w:rsidRPr="004A7C10">
        <w:t>Nieres un veselība. Latvijas nefrologu asociācijas oficiālais izdevums, 2018, pavasaris.</w:t>
      </w:r>
    </w:p>
    <w:p w14:paraId="0C773DF0" w14:textId="77777777" w:rsidR="0041298B" w:rsidRPr="004A7C10" w:rsidRDefault="006E26D3">
      <w:pPr>
        <w:numPr>
          <w:ilvl w:val="0"/>
          <w:numId w:val="11"/>
        </w:numPr>
        <w:ind w:left="561" w:hanging="561"/>
      </w:pPr>
      <w:proofErr w:type="spellStart"/>
      <w:r w:rsidRPr="004A7C10">
        <w:t>Swiss</w:t>
      </w:r>
      <w:proofErr w:type="spellEnd"/>
      <w:r w:rsidRPr="004A7C10">
        <w:t xml:space="preserve"> </w:t>
      </w:r>
      <w:proofErr w:type="spellStart"/>
      <w:r w:rsidRPr="004A7C10">
        <w:t>Academy</w:t>
      </w:r>
      <w:proofErr w:type="spellEnd"/>
      <w:r w:rsidRPr="004A7C10">
        <w:t xml:space="preserve"> </w:t>
      </w:r>
      <w:proofErr w:type="spellStart"/>
      <w:r w:rsidRPr="004A7C10">
        <w:t>Of</w:t>
      </w:r>
      <w:proofErr w:type="spellEnd"/>
      <w:r w:rsidRPr="004A7C10">
        <w:t xml:space="preserve"> Medical </w:t>
      </w:r>
      <w:proofErr w:type="spellStart"/>
      <w:r w:rsidRPr="004A7C10">
        <w:t>Sciences</w:t>
      </w:r>
      <w:proofErr w:type="spellEnd"/>
      <w:r w:rsidRPr="004A7C10">
        <w:t xml:space="preserve">. COVID-19 </w:t>
      </w:r>
      <w:proofErr w:type="spellStart"/>
      <w:r w:rsidRPr="004A7C10">
        <w:t>Pandemic</w:t>
      </w:r>
      <w:proofErr w:type="spellEnd"/>
      <w:r w:rsidRPr="004A7C10">
        <w:t xml:space="preserve">: </w:t>
      </w:r>
      <w:proofErr w:type="spellStart"/>
      <w:r w:rsidRPr="004A7C10">
        <w:t>Triage</w:t>
      </w:r>
      <w:proofErr w:type="spellEnd"/>
      <w:r w:rsidRPr="004A7C10">
        <w:t xml:space="preserve"> </w:t>
      </w:r>
      <w:proofErr w:type="spellStart"/>
      <w:r w:rsidRPr="004A7C10">
        <w:t>for</w:t>
      </w:r>
      <w:proofErr w:type="spellEnd"/>
      <w:r w:rsidRPr="004A7C10">
        <w:t xml:space="preserve"> </w:t>
      </w:r>
      <w:proofErr w:type="spellStart"/>
      <w:r w:rsidRPr="004A7C10">
        <w:t>Intensive-care</w:t>
      </w:r>
      <w:proofErr w:type="spellEnd"/>
    </w:p>
    <w:p w14:paraId="558FE5F2" w14:textId="77777777" w:rsidR="0041298B" w:rsidRPr="004A7C10" w:rsidRDefault="006E26D3">
      <w:pPr>
        <w:ind w:firstLine="561"/>
      </w:pPr>
      <w:proofErr w:type="spellStart"/>
      <w:r w:rsidRPr="004A7C10">
        <w:t>Treatment</w:t>
      </w:r>
      <w:proofErr w:type="spellEnd"/>
      <w:r w:rsidRPr="004A7C10">
        <w:t xml:space="preserve"> </w:t>
      </w:r>
      <w:proofErr w:type="spellStart"/>
      <w:r w:rsidRPr="004A7C10">
        <w:t>Under</w:t>
      </w:r>
      <w:proofErr w:type="spellEnd"/>
      <w:r w:rsidRPr="004A7C10">
        <w:t xml:space="preserve"> </w:t>
      </w:r>
      <w:proofErr w:type="spellStart"/>
      <w:r w:rsidRPr="004A7C10">
        <w:t>Resource</w:t>
      </w:r>
      <w:proofErr w:type="spellEnd"/>
      <w:r w:rsidRPr="004A7C10">
        <w:t xml:space="preserve"> </w:t>
      </w:r>
      <w:proofErr w:type="spellStart"/>
      <w:r w:rsidRPr="004A7C10">
        <w:t>Scarcity</w:t>
      </w:r>
      <w:proofErr w:type="spellEnd"/>
      <w:r w:rsidRPr="004A7C10">
        <w:t xml:space="preserve">. </w:t>
      </w:r>
      <w:proofErr w:type="spellStart"/>
      <w:r w:rsidRPr="004A7C10">
        <w:rPr>
          <w:i/>
        </w:rPr>
        <w:t>Swiss</w:t>
      </w:r>
      <w:proofErr w:type="spellEnd"/>
      <w:r w:rsidRPr="004A7C10">
        <w:rPr>
          <w:i/>
        </w:rPr>
        <w:t xml:space="preserve"> </w:t>
      </w:r>
      <w:proofErr w:type="spellStart"/>
      <w:r w:rsidRPr="004A7C10">
        <w:rPr>
          <w:i/>
        </w:rPr>
        <w:t>medical</w:t>
      </w:r>
      <w:proofErr w:type="spellEnd"/>
      <w:r w:rsidRPr="004A7C10">
        <w:rPr>
          <w:i/>
        </w:rPr>
        <w:t xml:space="preserve"> </w:t>
      </w:r>
      <w:proofErr w:type="spellStart"/>
      <w:r w:rsidRPr="004A7C10">
        <w:rPr>
          <w:i/>
        </w:rPr>
        <w:t>weekly</w:t>
      </w:r>
      <w:proofErr w:type="spellEnd"/>
      <w:r w:rsidRPr="004A7C10">
        <w:t>, 2020, 150: w20229.</w:t>
      </w:r>
    </w:p>
    <w:p w14:paraId="0C7552E1" w14:textId="77777777" w:rsidR="0041298B" w:rsidRPr="004A7C10" w:rsidRDefault="006E26D3">
      <w:pPr>
        <w:numPr>
          <w:ilvl w:val="0"/>
          <w:numId w:val="11"/>
        </w:numPr>
        <w:tabs>
          <w:tab w:val="left" w:pos="561"/>
        </w:tabs>
        <w:ind w:left="561" w:hanging="561"/>
      </w:pPr>
      <w:proofErr w:type="spellStart"/>
      <w:r w:rsidRPr="004A7C10">
        <w:t>Truog</w:t>
      </w:r>
      <w:proofErr w:type="spellEnd"/>
      <w:r w:rsidRPr="004A7C10">
        <w:t xml:space="preserve">, R. D.; </w:t>
      </w:r>
      <w:proofErr w:type="spellStart"/>
      <w:r w:rsidRPr="004A7C10">
        <w:t>Mitchell</w:t>
      </w:r>
      <w:proofErr w:type="spellEnd"/>
      <w:r w:rsidRPr="004A7C10">
        <w:t xml:space="preserve">, C; </w:t>
      </w:r>
      <w:proofErr w:type="spellStart"/>
      <w:r w:rsidRPr="004A7C10">
        <w:t>Daley</w:t>
      </w:r>
      <w:proofErr w:type="spellEnd"/>
      <w:r w:rsidRPr="004A7C10">
        <w:t xml:space="preserve">, G. Q. </w:t>
      </w:r>
      <w:proofErr w:type="spellStart"/>
      <w:r w:rsidRPr="004A7C10">
        <w:t>The</w:t>
      </w:r>
      <w:proofErr w:type="spellEnd"/>
      <w:r w:rsidRPr="004A7C10">
        <w:t xml:space="preserve"> </w:t>
      </w:r>
      <w:proofErr w:type="spellStart"/>
      <w:r w:rsidRPr="004A7C10">
        <w:t>Toughest</w:t>
      </w:r>
      <w:proofErr w:type="spellEnd"/>
      <w:r w:rsidRPr="004A7C10">
        <w:t xml:space="preserve"> </w:t>
      </w:r>
      <w:proofErr w:type="spellStart"/>
      <w:r w:rsidRPr="004A7C10">
        <w:t>Triage</w:t>
      </w:r>
      <w:proofErr w:type="spellEnd"/>
      <w:r w:rsidRPr="004A7C10">
        <w:t xml:space="preserve"> – </w:t>
      </w:r>
      <w:proofErr w:type="spellStart"/>
      <w:r w:rsidRPr="004A7C10">
        <w:t>Allocating</w:t>
      </w:r>
      <w:proofErr w:type="spellEnd"/>
      <w:r w:rsidRPr="004A7C10">
        <w:t xml:space="preserve"> Ventilators in a </w:t>
      </w:r>
      <w:proofErr w:type="spellStart"/>
      <w:r w:rsidRPr="004A7C10">
        <w:t>Pandemic</w:t>
      </w:r>
      <w:proofErr w:type="spellEnd"/>
      <w:r w:rsidRPr="004A7C10">
        <w:t xml:space="preserve">. </w:t>
      </w:r>
      <w:proofErr w:type="spellStart"/>
      <w:r w:rsidRPr="004A7C10">
        <w:rPr>
          <w:i/>
        </w:rPr>
        <w:t>New</w:t>
      </w:r>
      <w:proofErr w:type="spellEnd"/>
      <w:r w:rsidRPr="004A7C10">
        <w:rPr>
          <w:i/>
        </w:rPr>
        <w:t xml:space="preserve"> England </w:t>
      </w:r>
      <w:proofErr w:type="spellStart"/>
      <w:r w:rsidRPr="004A7C10">
        <w:rPr>
          <w:i/>
        </w:rPr>
        <w:t>Journal</w:t>
      </w:r>
      <w:proofErr w:type="spellEnd"/>
      <w:r w:rsidRPr="004A7C10">
        <w:rPr>
          <w:i/>
        </w:rPr>
        <w:t xml:space="preserve"> </w:t>
      </w:r>
      <w:proofErr w:type="spellStart"/>
      <w:r w:rsidRPr="004A7C10">
        <w:rPr>
          <w:i/>
        </w:rPr>
        <w:t>of</w:t>
      </w:r>
      <w:proofErr w:type="spellEnd"/>
      <w:r w:rsidRPr="004A7C10">
        <w:rPr>
          <w:i/>
        </w:rPr>
        <w:t xml:space="preserve"> </w:t>
      </w:r>
      <w:proofErr w:type="spellStart"/>
      <w:r w:rsidRPr="004A7C10">
        <w:rPr>
          <w:i/>
        </w:rPr>
        <w:t>Medicine</w:t>
      </w:r>
      <w:proofErr w:type="spellEnd"/>
      <w:r w:rsidRPr="004A7C10">
        <w:t>, 2020.</w:t>
      </w:r>
    </w:p>
    <w:p w14:paraId="0BF92CAD" w14:textId="77777777" w:rsidR="0041298B" w:rsidRPr="004A7C10" w:rsidRDefault="006E26D3">
      <w:pPr>
        <w:numPr>
          <w:ilvl w:val="0"/>
          <w:numId w:val="11"/>
        </w:numPr>
        <w:tabs>
          <w:tab w:val="left" w:pos="561"/>
        </w:tabs>
        <w:ind w:left="561" w:right="20" w:hanging="561"/>
      </w:pPr>
      <w:r w:rsidRPr="004A7C10">
        <w:t xml:space="preserve">Ventilator </w:t>
      </w:r>
      <w:proofErr w:type="spellStart"/>
      <w:r w:rsidRPr="004A7C10">
        <w:t>Allocation</w:t>
      </w:r>
      <w:proofErr w:type="spellEnd"/>
      <w:r w:rsidRPr="004A7C10">
        <w:t xml:space="preserve"> </w:t>
      </w:r>
      <w:proofErr w:type="spellStart"/>
      <w:r w:rsidRPr="004A7C10">
        <w:t>Guidelines</w:t>
      </w:r>
      <w:proofErr w:type="spellEnd"/>
      <w:r w:rsidRPr="004A7C10">
        <w:t xml:space="preserve">. </w:t>
      </w:r>
      <w:proofErr w:type="spellStart"/>
      <w:r w:rsidRPr="004A7C10">
        <w:t>New</w:t>
      </w:r>
      <w:proofErr w:type="spellEnd"/>
      <w:r w:rsidRPr="004A7C10">
        <w:t xml:space="preserve"> </w:t>
      </w:r>
      <w:proofErr w:type="spellStart"/>
      <w:r w:rsidRPr="004A7C10">
        <w:t>York</w:t>
      </w:r>
      <w:proofErr w:type="spellEnd"/>
      <w:r w:rsidRPr="004A7C10">
        <w:t xml:space="preserve"> </w:t>
      </w:r>
      <w:proofErr w:type="spellStart"/>
      <w:r w:rsidRPr="004A7C10">
        <w:t>State</w:t>
      </w:r>
      <w:proofErr w:type="spellEnd"/>
      <w:r w:rsidRPr="004A7C10">
        <w:t xml:space="preserve"> </w:t>
      </w:r>
      <w:proofErr w:type="spellStart"/>
      <w:r w:rsidRPr="004A7C10">
        <w:t>Task</w:t>
      </w:r>
      <w:proofErr w:type="spellEnd"/>
      <w:r w:rsidRPr="004A7C10">
        <w:t xml:space="preserve"> </w:t>
      </w:r>
      <w:proofErr w:type="spellStart"/>
      <w:r w:rsidRPr="004A7C10">
        <w:t>Force</w:t>
      </w:r>
      <w:proofErr w:type="spellEnd"/>
      <w:r w:rsidRPr="004A7C10">
        <w:t xml:space="preserve"> </w:t>
      </w:r>
      <w:proofErr w:type="spellStart"/>
      <w:r w:rsidRPr="004A7C10">
        <w:t>on</w:t>
      </w:r>
      <w:proofErr w:type="spellEnd"/>
      <w:r w:rsidRPr="004A7C10">
        <w:t xml:space="preserve"> </w:t>
      </w:r>
      <w:proofErr w:type="spellStart"/>
      <w:r w:rsidRPr="004A7C10">
        <w:t>Life</w:t>
      </w:r>
      <w:proofErr w:type="spellEnd"/>
      <w:r w:rsidRPr="004A7C10">
        <w:t xml:space="preserve"> </w:t>
      </w:r>
      <w:proofErr w:type="spellStart"/>
      <w:r w:rsidRPr="004A7C10">
        <w:t>and</w:t>
      </w:r>
      <w:proofErr w:type="spellEnd"/>
      <w:r w:rsidRPr="004A7C10">
        <w:t xml:space="preserve"> </w:t>
      </w:r>
      <w:proofErr w:type="spellStart"/>
      <w:r w:rsidRPr="004A7C10">
        <w:t>the</w:t>
      </w:r>
      <w:proofErr w:type="spellEnd"/>
      <w:r w:rsidRPr="004A7C10">
        <w:t xml:space="preserve"> </w:t>
      </w:r>
      <w:proofErr w:type="spellStart"/>
      <w:r w:rsidRPr="004A7C10">
        <w:t>Law</w:t>
      </w:r>
      <w:proofErr w:type="spellEnd"/>
      <w:r w:rsidRPr="004A7C10">
        <w:t xml:space="preserve"> </w:t>
      </w:r>
      <w:proofErr w:type="spellStart"/>
      <w:r w:rsidRPr="004A7C10">
        <w:t>New</w:t>
      </w:r>
      <w:proofErr w:type="spellEnd"/>
      <w:r w:rsidRPr="004A7C10">
        <w:t xml:space="preserve"> </w:t>
      </w:r>
      <w:proofErr w:type="spellStart"/>
      <w:r w:rsidRPr="004A7C10">
        <w:t>York</w:t>
      </w:r>
      <w:proofErr w:type="spellEnd"/>
      <w:r w:rsidRPr="004A7C10">
        <w:t xml:space="preserve"> </w:t>
      </w:r>
      <w:proofErr w:type="spellStart"/>
      <w:r w:rsidRPr="004A7C10">
        <w:t>State</w:t>
      </w:r>
      <w:proofErr w:type="spellEnd"/>
      <w:r w:rsidRPr="004A7C10">
        <w:t xml:space="preserve"> </w:t>
      </w:r>
      <w:proofErr w:type="spellStart"/>
      <w:r w:rsidRPr="004A7C10">
        <w:t>Department</w:t>
      </w:r>
      <w:proofErr w:type="spellEnd"/>
      <w:r w:rsidRPr="004A7C10">
        <w:t xml:space="preserve"> </w:t>
      </w:r>
      <w:proofErr w:type="spellStart"/>
      <w:r w:rsidRPr="004A7C10">
        <w:t>of</w:t>
      </w:r>
      <w:proofErr w:type="spellEnd"/>
      <w:r w:rsidRPr="004A7C10">
        <w:t xml:space="preserve"> Health. </w:t>
      </w:r>
      <w:proofErr w:type="spellStart"/>
      <w:r w:rsidRPr="004A7C10">
        <w:t>November</w:t>
      </w:r>
      <w:proofErr w:type="spellEnd"/>
      <w:r w:rsidRPr="004A7C10">
        <w:t xml:space="preserve"> 2015. </w:t>
      </w:r>
    </w:p>
    <w:p w14:paraId="71339F65" w14:textId="77777777" w:rsidR="0041298B" w:rsidRPr="004A7C10" w:rsidRDefault="006E26D3">
      <w:pPr>
        <w:numPr>
          <w:ilvl w:val="0"/>
          <w:numId w:val="11"/>
        </w:numPr>
        <w:tabs>
          <w:tab w:val="left" w:pos="561"/>
        </w:tabs>
        <w:ind w:left="561" w:right="20" w:hanging="561"/>
      </w:pPr>
      <w:proofErr w:type="spellStart"/>
      <w:r w:rsidRPr="004A7C10">
        <w:t>Shadman</w:t>
      </w:r>
      <w:proofErr w:type="spellEnd"/>
      <w:r w:rsidRPr="004A7C10">
        <w:t xml:space="preserve"> Aziz, </w:t>
      </w:r>
      <w:proofErr w:type="spellStart"/>
      <w:r w:rsidRPr="004A7C10">
        <w:t>Yaseen</w:t>
      </w:r>
      <w:proofErr w:type="spellEnd"/>
      <w:r w:rsidRPr="004A7C10">
        <w:t xml:space="preserve"> M. </w:t>
      </w:r>
      <w:proofErr w:type="spellStart"/>
      <w:r w:rsidRPr="004A7C10">
        <w:t>Arabi</w:t>
      </w:r>
      <w:proofErr w:type="spellEnd"/>
      <w:r w:rsidRPr="004A7C10">
        <w:t xml:space="preserve">, </w:t>
      </w:r>
      <w:proofErr w:type="spellStart"/>
      <w:r w:rsidRPr="004A7C10">
        <w:t>Waleed</w:t>
      </w:r>
      <w:proofErr w:type="spellEnd"/>
      <w:r w:rsidRPr="004A7C10">
        <w:t xml:space="preserve"> </w:t>
      </w:r>
      <w:proofErr w:type="spellStart"/>
      <w:r w:rsidRPr="004A7C10">
        <w:t>Alhazzani</w:t>
      </w:r>
      <w:proofErr w:type="spellEnd"/>
      <w:r w:rsidRPr="004A7C10">
        <w:t xml:space="preserve">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Managing</w:t>
      </w:r>
      <w:proofErr w:type="spellEnd"/>
      <w:r w:rsidRPr="004A7C10">
        <w:t xml:space="preserve"> ICU </w:t>
      </w:r>
      <w:proofErr w:type="spellStart"/>
      <w:r w:rsidRPr="004A7C10">
        <w:t>surge</w:t>
      </w:r>
      <w:proofErr w:type="spellEnd"/>
      <w:r w:rsidRPr="004A7C10">
        <w:t xml:space="preserve"> </w:t>
      </w:r>
      <w:proofErr w:type="spellStart"/>
      <w:r w:rsidRPr="004A7C10">
        <w:t>during</w:t>
      </w:r>
      <w:proofErr w:type="spellEnd"/>
      <w:r w:rsidRPr="004A7C10">
        <w:t xml:space="preserve"> </w:t>
      </w:r>
      <w:proofErr w:type="spellStart"/>
      <w:r w:rsidRPr="004A7C10">
        <w:t>the</w:t>
      </w:r>
      <w:proofErr w:type="spellEnd"/>
      <w:r w:rsidRPr="004A7C10">
        <w:t xml:space="preserve"> COVID-19 </w:t>
      </w:r>
      <w:proofErr w:type="spellStart"/>
      <w:r w:rsidRPr="004A7C10">
        <w:t>crisis</w:t>
      </w:r>
      <w:proofErr w:type="spellEnd"/>
      <w:r w:rsidRPr="004A7C10">
        <w:t xml:space="preserve">: </w:t>
      </w:r>
      <w:proofErr w:type="spellStart"/>
      <w:r w:rsidRPr="004A7C10">
        <w:t>rapid</w:t>
      </w:r>
      <w:proofErr w:type="spellEnd"/>
      <w:r w:rsidRPr="004A7C10">
        <w:t xml:space="preserve"> </w:t>
      </w:r>
      <w:proofErr w:type="spellStart"/>
      <w:r w:rsidRPr="004A7C10">
        <w:t>guidelines</w:t>
      </w:r>
      <w:proofErr w:type="spellEnd"/>
      <w:r w:rsidRPr="004A7C10">
        <w:t xml:space="preserve">. </w:t>
      </w:r>
      <w:proofErr w:type="spellStart"/>
      <w:r w:rsidRPr="004A7C10">
        <w:t>Intensive</w:t>
      </w:r>
      <w:proofErr w:type="spellEnd"/>
      <w:r w:rsidRPr="004A7C10">
        <w:t xml:space="preserve"> </w:t>
      </w:r>
      <w:proofErr w:type="spellStart"/>
      <w:r w:rsidRPr="004A7C10">
        <w:t>Care</w:t>
      </w:r>
      <w:proofErr w:type="spellEnd"/>
      <w:r w:rsidRPr="004A7C10">
        <w:t xml:space="preserve"> </w:t>
      </w:r>
      <w:proofErr w:type="spellStart"/>
      <w:r w:rsidRPr="004A7C10">
        <w:t>Med</w:t>
      </w:r>
      <w:proofErr w:type="spellEnd"/>
      <w:r w:rsidRPr="004A7C10">
        <w:t xml:space="preserve">, 2020, </w:t>
      </w:r>
      <w:proofErr w:type="spellStart"/>
      <w:r w:rsidRPr="004A7C10">
        <w:t>Jun</w:t>
      </w:r>
      <w:proofErr w:type="spellEnd"/>
      <w:r w:rsidRPr="004A7C10">
        <w:t xml:space="preserve"> 8: 1–23. https://doi.org/10.1007/s00134-020-06092-5</w:t>
      </w:r>
    </w:p>
    <w:p w14:paraId="5AED3754" w14:textId="77777777" w:rsidR="00C93D0B" w:rsidRPr="004A7C10" w:rsidRDefault="006E26D3" w:rsidP="00C93D0B">
      <w:pPr>
        <w:numPr>
          <w:ilvl w:val="0"/>
          <w:numId w:val="11"/>
        </w:numPr>
        <w:tabs>
          <w:tab w:val="left" w:pos="561"/>
        </w:tabs>
        <w:ind w:left="561" w:right="20" w:hanging="561"/>
      </w:pPr>
      <w:proofErr w:type="spellStart"/>
      <w:r w:rsidRPr="004A7C10">
        <w:t>Thomas</w:t>
      </w:r>
      <w:proofErr w:type="spellEnd"/>
      <w:r w:rsidRPr="004A7C10">
        <w:t xml:space="preserve"> </w:t>
      </w:r>
      <w:proofErr w:type="spellStart"/>
      <w:r w:rsidRPr="004A7C10">
        <w:t>Wurmb</w:t>
      </w:r>
      <w:proofErr w:type="spellEnd"/>
      <w:r w:rsidRPr="004A7C10">
        <w:t xml:space="preserve">, Katja </w:t>
      </w:r>
      <w:proofErr w:type="spellStart"/>
      <w:r w:rsidRPr="004A7C10">
        <w:t>Scholtes</w:t>
      </w:r>
      <w:proofErr w:type="spellEnd"/>
      <w:r w:rsidRPr="004A7C10">
        <w:t xml:space="preserve">, </w:t>
      </w:r>
      <w:proofErr w:type="spellStart"/>
      <w:r w:rsidRPr="004A7C10">
        <w:t>Felix</w:t>
      </w:r>
      <w:proofErr w:type="spellEnd"/>
      <w:r w:rsidRPr="004A7C10">
        <w:t xml:space="preserve"> </w:t>
      </w:r>
      <w:proofErr w:type="spellStart"/>
      <w:r w:rsidRPr="004A7C10">
        <w:t>Kolibay</w:t>
      </w:r>
      <w:proofErr w:type="spellEnd"/>
      <w:r w:rsidRPr="004A7C10">
        <w:t xml:space="preserve"> </w:t>
      </w:r>
      <w:proofErr w:type="spellStart"/>
      <w:r w:rsidRPr="004A7C10">
        <w:t>et</w:t>
      </w:r>
      <w:proofErr w:type="spellEnd"/>
      <w:r w:rsidRPr="004A7C10">
        <w:t xml:space="preserve"> </w:t>
      </w:r>
      <w:proofErr w:type="spellStart"/>
      <w:r w:rsidRPr="004A7C10">
        <w:t>al</w:t>
      </w:r>
      <w:proofErr w:type="spellEnd"/>
      <w:r w:rsidRPr="004A7C10">
        <w:t xml:space="preserve">. </w:t>
      </w:r>
      <w:proofErr w:type="spellStart"/>
      <w:r w:rsidRPr="004A7C10">
        <w:t>Hospital</w:t>
      </w:r>
      <w:proofErr w:type="spellEnd"/>
      <w:r w:rsidRPr="004A7C10">
        <w:t xml:space="preserve"> </w:t>
      </w:r>
      <w:proofErr w:type="spellStart"/>
      <w:r w:rsidRPr="004A7C10">
        <w:t>preparedness</w:t>
      </w:r>
      <w:proofErr w:type="spellEnd"/>
      <w:r w:rsidRPr="004A7C10">
        <w:t xml:space="preserve"> </w:t>
      </w:r>
      <w:proofErr w:type="spellStart"/>
      <w:r w:rsidRPr="004A7C10">
        <w:t>for</w:t>
      </w:r>
      <w:proofErr w:type="spellEnd"/>
      <w:r w:rsidRPr="004A7C10">
        <w:t xml:space="preserve"> </w:t>
      </w:r>
      <w:proofErr w:type="spellStart"/>
      <w:r w:rsidRPr="004A7C10">
        <w:t>mass</w:t>
      </w:r>
      <w:proofErr w:type="spellEnd"/>
      <w:r w:rsidRPr="004A7C10">
        <w:t xml:space="preserve"> </w:t>
      </w:r>
      <w:proofErr w:type="spellStart"/>
      <w:r w:rsidRPr="004A7C10">
        <w:t>critical</w:t>
      </w:r>
      <w:proofErr w:type="spellEnd"/>
      <w:r w:rsidRPr="004A7C10">
        <w:t xml:space="preserve"> </w:t>
      </w:r>
      <w:proofErr w:type="spellStart"/>
      <w:r w:rsidRPr="004A7C10">
        <w:t>care</w:t>
      </w:r>
      <w:proofErr w:type="spellEnd"/>
      <w:r w:rsidRPr="004A7C10">
        <w:t xml:space="preserve"> </w:t>
      </w:r>
      <w:proofErr w:type="spellStart"/>
      <w:r w:rsidRPr="004A7C10">
        <w:t>during</w:t>
      </w:r>
      <w:proofErr w:type="spellEnd"/>
      <w:r w:rsidRPr="004A7C10">
        <w:t xml:space="preserve"> SARS-CoV-2 </w:t>
      </w:r>
      <w:proofErr w:type="spellStart"/>
      <w:r w:rsidRPr="004A7C10">
        <w:t>pandemic</w:t>
      </w:r>
      <w:proofErr w:type="spellEnd"/>
      <w:r w:rsidRPr="004A7C10">
        <w:t xml:space="preserve">. </w:t>
      </w:r>
      <w:proofErr w:type="spellStart"/>
      <w:r w:rsidRPr="004A7C10">
        <w:t>Critical</w:t>
      </w:r>
      <w:proofErr w:type="spellEnd"/>
      <w:r w:rsidRPr="004A7C10">
        <w:t xml:space="preserve"> </w:t>
      </w:r>
      <w:proofErr w:type="spellStart"/>
      <w:r w:rsidRPr="004A7C10">
        <w:t>Care</w:t>
      </w:r>
      <w:proofErr w:type="spellEnd"/>
      <w:r w:rsidRPr="004A7C10">
        <w:t xml:space="preserve"> (2020) 24:386 </w:t>
      </w:r>
      <w:hyperlink r:id="rId12" w:history="1">
        <w:r w:rsidR="009F4130" w:rsidRPr="004A7C10">
          <w:rPr>
            <w:rStyle w:val="Hyperlink"/>
          </w:rPr>
          <w:t>https://doi.org/10.1186/s13054-020-03104-0</w:t>
        </w:r>
      </w:hyperlink>
    </w:p>
    <w:p w14:paraId="06863B21" w14:textId="1B19382C" w:rsidR="00C93D0B" w:rsidRPr="007A07E1" w:rsidRDefault="009F4130" w:rsidP="00C93D0B">
      <w:pPr>
        <w:numPr>
          <w:ilvl w:val="0"/>
          <w:numId w:val="11"/>
        </w:numPr>
        <w:tabs>
          <w:tab w:val="left" w:pos="561"/>
        </w:tabs>
        <w:ind w:left="561" w:right="20" w:hanging="561"/>
      </w:pPr>
      <w:proofErr w:type="spellStart"/>
      <w:r w:rsidRPr="004A7C10">
        <w:rPr>
          <w:color w:val="3C4245"/>
          <w:kern w:val="36"/>
        </w:rPr>
        <w:t>Coronavirus</w:t>
      </w:r>
      <w:proofErr w:type="spellEnd"/>
      <w:r w:rsidRPr="004A7C10">
        <w:rPr>
          <w:color w:val="3C4245"/>
          <w:kern w:val="36"/>
        </w:rPr>
        <w:t xml:space="preserve"> </w:t>
      </w:r>
      <w:proofErr w:type="spellStart"/>
      <w:r w:rsidRPr="004A7C10">
        <w:rPr>
          <w:color w:val="3C4245"/>
          <w:kern w:val="36"/>
        </w:rPr>
        <w:t>disease</w:t>
      </w:r>
      <w:proofErr w:type="spellEnd"/>
      <w:r w:rsidRPr="004A7C10">
        <w:rPr>
          <w:color w:val="3C4245"/>
          <w:kern w:val="36"/>
        </w:rPr>
        <w:t xml:space="preserve"> (COVID-19): </w:t>
      </w:r>
      <w:proofErr w:type="spellStart"/>
      <w:r w:rsidRPr="004A7C10">
        <w:rPr>
          <w:color w:val="3C4245"/>
          <w:kern w:val="36"/>
        </w:rPr>
        <w:t>Ethics</w:t>
      </w:r>
      <w:proofErr w:type="spellEnd"/>
      <w:r w:rsidRPr="004A7C10">
        <w:rPr>
          <w:color w:val="3C4245"/>
          <w:kern w:val="36"/>
        </w:rPr>
        <w:t xml:space="preserve">, </w:t>
      </w:r>
      <w:proofErr w:type="spellStart"/>
      <w:r w:rsidRPr="004A7C10">
        <w:rPr>
          <w:color w:val="3C4245"/>
          <w:kern w:val="36"/>
        </w:rPr>
        <w:t>resource</w:t>
      </w:r>
      <w:proofErr w:type="spellEnd"/>
      <w:r w:rsidRPr="004A7C10">
        <w:rPr>
          <w:color w:val="3C4245"/>
          <w:kern w:val="36"/>
        </w:rPr>
        <w:t xml:space="preserve"> </w:t>
      </w:r>
      <w:proofErr w:type="spellStart"/>
      <w:r w:rsidRPr="004A7C10">
        <w:rPr>
          <w:color w:val="3C4245"/>
          <w:kern w:val="36"/>
        </w:rPr>
        <w:t>allocation</w:t>
      </w:r>
      <w:proofErr w:type="spellEnd"/>
      <w:r w:rsidRPr="004A7C10">
        <w:rPr>
          <w:color w:val="3C4245"/>
          <w:kern w:val="36"/>
        </w:rPr>
        <w:t xml:space="preserve"> </w:t>
      </w:r>
      <w:proofErr w:type="spellStart"/>
      <w:r w:rsidRPr="004A7C10">
        <w:rPr>
          <w:color w:val="3C4245"/>
          <w:kern w:val="36"/>
        </w:rPr>
        <w:t>and</w:t>
      </w:r>
      <w:proofErr w:type="spellEnd"/>
      <w:r w:rsidRPr="004A7C10">
        <w:rPr>
          <w:color w:val="3C4245"/>
          <w:kern w:val="36"/>
        </w:rPr>
        <w:t xml:space="preserve"> </w:t>
      </w:r>
      <w:proofErr w:type="spellStart"/>
      <w:r w:rsidRPr="004A7C10">
        <w:rPr>
          <w:color w:val="3C4245"/>
          <w:kern w:val="36"/>
        </w:rPr>
        <w:t>priority</w:t>
      </w:r>
      <w:proofErr w:type="spellEnd"/>
      <w:r w:rsidRPr="004A7C10">
        <w:rPr>
          <w:color w:val="3C4245"/>
          <w:kern w:val="36"/>
        </w:rPr>
        <w:t xml:space="preserve"> </w:t>
      </w:r>
      <w:proofErr w:type="spellStart"/>
      <w:r w:rsidRPr="004A7C10">
        <w:rPr>
          <w:color w:val="3C4245"/>
          <w:kern w:val="36"/>
        </w:rPr>
        <w:t>setting</w:t>
      </w:r>
      <w:proofErr w:type="spellEnd"/>
      <w:r w:rsidRPr="004A7C10">
        <w:rPr>
          <w:color w:val="3C4245"/>
          <w:kern w:val="36"/>
        </w:rPr>
        <w:t xml:space="preserve">. </w:t>
      </w:r>
      <w:r w:rsidR="00C93D0B" w:rsidRPr="004A7C10">
        <w:rPr>
          <w:color w:val="3C4245"/>
          <w:kern w:val="36"/>
        </w:rPr>
        <w:t>who</w:t>
      </w:r>
      <w:r w:rsidRPr="004A7C10">
        <w:rPr>
          <w:color w:val="3C4245"/>
          <w:kern w:val="36"/>
        </w:rPr>
        <w:t>.int</w:t>
      </w:r>
      <w:r w:rsidR="00C93D0B" w:rsidRPr="004A7C10">
        <w:rPr>
          <w:color w:val="3C4245"/>
          <w:kern w:val="36"/>
        </w:rPr>
        <w:t xml:space="preserve"> </w:t>
      </w:r>
      <w:r w:rsidR="00C93D0B" w:rsidRPr="004A7C10">
        <w:rPr>
          <w:color w:val="3C4245"/>
        </w:rPr>
        <w:t xml:space="preserve">WHO reference </w:t>
      </w:r>
      <w:proofErr w:type="spellStart"/>
      <w:r w:rsidR="00C93D0B" w:rsidRPr="004A7C10">
        <w:rPr>
          <w:color w:val="3C4245"/>
        </w:rPr>
        <w:t>number</w:t>
      </w:r>
      <w:proofErr w:type="spellEnd"/>
      <w:r w:rsidR="00C93D0B" w:rsidRPr="004A7C10">
        <w:rPr>
          <w:color w:val="3C4245"/>
        </w:rPr>
        <w:t>: WHO/RFH/20.2.</w:t>
      </w:r>
    </w:p>
    <w:p w14:paraId="704E5F3D" w14:textId="37B1367B" w:rsidR="007A07E1" w:rsidRPr="007A07E1" w:rsidRDefault="00B95139" w:rsidP="00B95139">
      <w:pPr>
        <w:numPr>
          <w:ilvl w:val="0"/>
          <w:numId w:val="11"/>
        </w:numPr>
        <w:tabs>
          <w:tab w:val="left" w:pos="561"/>
        </w:tabs>
        <w:ind w:left="561" w:right="20" w:hanging="561"/>
      </w:pPr>
      <w:proofErr w:type="spellStart"/>
      <w:r>
        <w:rPr>
          <w:color w:val="3C4245"/>
        </w:rPr>
        <w:t>Jobges</w:t>
      </w:r>
      <w:proofErr w:type="spellEnd"/>
      <w:r>
        <w:rPr>
          <w:color w:val="3C4245"/>
        </w:rPr>
        <w:t xml:space="preserve"> S., </w:t>
      </w:r>
      <w:proofErr w:type="spellStart"/>
      <w:r>
        <w:rPr>
          <w:color w:val="3C4245"/>
        </w:rPr>
        <w:t>Vinay</w:t>
      </w:r>
      <w:proofErr w:type="spellEnd"/>
      <w:r>
        <w:rPr>
          <w:color w:val="3C4245"/>
        </w:rPr>
        <w:t xml:space="preserve"> r., </w:t>
      </w:r>
      <w:proofErr w:type="spellStart"/>
      <w:r>
        <w:rPr>
          <w:color w:val="3C4245"/>
        </w:rPr>
        <w:t>Luycks</w:t>
      </w:r>
      <w:proofErr w:type="spellEnd"/>
      <w:r>
        <w:rPr>
          <w:color w:val="3C4245"/>
        </w:rPr>
        <w:t xml:space="preserve"> V.A. </w:t>
      </w:r>
      <w:proofErr w:type="spellStart"/>
      <w:r w:rsidR="007A07E1">
        <w:rPr>
          <w:color w:val="3C4245"/>
        </w:rPr>
        <w:t>Recommendations</w:t>
      </w:r>
      <w:proofErr w:type="spellEnd"/>
      <w:r w:rsidR="007A07E1">
        <w:rPr>
          <w:color w:val="3C4245"/>
        </w:rPr>
        <w:t xml:space="preserve"> </w:t>
      </w:r>
      <w:proofErr w:type="spellStart"/>
      <w:r w:rsidR="007A07E1">
        <w:rPr>
          <w:color w:val="3C4245"/>
        </w:rPr>
        <w:t>on</w:t>
      </w:r>
      <w:proofErr w:type="spellEnd"/>
      <w:r w:rsidR="007A07E1">
        <w:rPr>
          <w:color w:val="3C4245"/>
        </w:rPr>
        <w:t xml:space="preserve"> COVID-19 </w:t>
      </w:r>
      <w:proofErr w:type="spellStart"/>
      <w:r w:rsidR="007A07E1">
        <w:rPr>
          <w:color w:val="3C4245"/>
        </w:rPr>
        <w:t>triage</w:t>
      </w:r>
      <w:proofErr w:type="spellEnd"/>
      <w:r w:rsidR="007A07E1">
        <w:rPr>
          <w:color w:val="3C4245"/>
        </w:rPr>
        <w:t xml:space="preserve">: </w:t>
      </w:r>
      <w:proofErr w:type="spellStart"/>
      <w:r w:rsidR="007A07E1">
        <w:rPr>
          <w:color w:val="3C4245"/>
        </w:rPr>
        <w:t>international</w:t>
      </w:r>
      <w:proofErr w:type="spellEnd"/>
      <w:r w:rsidR="007A07E1">
        <w:rPr>
          <w:color w:val="3C4245"/>
        </w:rPr>
        <w:t xml:space="preserve"> </w:t>
      </w:r>
      <w:proofErr w:type="spellStart"/>
      <w:r w:rsidR="007A07E1">
        <w:rPr>
          <w:color w:val="3C4245"/>
        </w:rPr>
        <w:t>Comparison</w:t>
      </w:r>
      <w:proofErr w:type="spellEnd"/>
      <w:r w:rsidR="007A07E1">
        <w:rPr>
          <w:color w:val="3C4245"/>
        </w:rPr>
        <w:t xml:space="preserve"> </w:t>
      </w:r>
      <w:proofErr w:type="spellStart"/>
      <w:r w:rsidR="007A07E1">
        <w:rPr>
          <w:color w:val="3C4245"/>
        </w:rPr>
        <w:t>and</w:t>
      </w:r>
      <w:proofErr w:type="spellEnd"/>
      <w:r w:rsidR="007A07E1">
        <w:rPr>
          <w:color w:val="3C4245"/>
        </w:rPr>
        <w:t xml:space="preserve"> </w:t>
      </w:r>
      <w:proofErr w:type="spellStart"/>
      <w:r w:rsidR="007A07E1">
        <w:rPr>
          <w:color w:val="3C4245"/>
        </w:rPr>
        <w:t>ethical</w:t>
      </w:r>
      <w:proofErr w:type="spellEnd"/>
      <w:r w:rsidR="007A07E1">
        <w:rPr>
          <w:color w:val="3C4245"/>
        </w:rPr>
        <w:t xml:space="preserve"> </w:t>
      </w:r>
      <w:proofErr w:type="spellStart"/>
      <w:r w:rsidR="007A07E1">
        <w:rPr>
          <w:color w:val="3C4245"/>
        </w:rPr>
        <w:t>analysis</w:t>
      </w:r>
      <w:proofErr w:type="spellEnd"/>
      <w:r>
        <w:rPr>
          <w:color w:val="3C4245"/>
        </w:rPr>
        <w:t xml:space="preserve">. </w:t>
      </w:r>
      <w:proofErr w:type="spellStart"/>
      <w:r>
        <w:rPr>
          <w:color w:val="3C4245"/>
        </w:rPr>
        <w:t>Bioethics</w:t>
      </w:r>
      <w:proofErr w:type="spellEnd"/>
      <w:r>
        <w:rPr>
          <w:color w:val="3C4245"/>
        </w:rPr>
        <w:t xml:space="preserve">, 2020, </w:t>
      </w:r>
      <w:proofErr w:type="spellStart"/>
      <w:r>
        <w:rPr>
          <w:rStyle w:val="doi"/>
        </w:rPr>
        <w:t>doi</w:t>
      </w:r>
      <w:proofErr w:type="spellEnd"/>
      <w:r>
        <w:rPr>
          <w:rStyle w:val="doi"/>
        </w:rPr>
        <w:t>: </w:t>
      </w:r>
      <w:hyperlink r:id="rId13" w:history="1">
        <w:r w:rsidRPr="007A07E1">
          <w:rPr>
            <w:rStyle w:val="Hyperlink"/>
            <w:color w:val="642A8F"/>
          </w:rPr>
          <w:t>10.1111/bioe.12805</w:t>
        </w:r>
      </w:hyperlink>
    </w:p>
    <w:p w14:paraId="2C771C69" w14:textId="6C6B7A2E" w:rsidR="007A07E1" w:rsidRPr="004A7C10" w:rsidRDefault="007A07E1" w:rsidP="00C93D0B">
      <w:pPr>
        <w:numPr>
          <w:ilvl w:val="0"/>
          <w:numId w:val="11"/>
        </w:numPr>
        <w:tabs>
          <w:tab w:val="left" w:pos="561"/>
        </w:tabs>
        <w:ind w:left="561" w:right="20" w:hanging="561"/>
      </w:pPr>
      <w:r w:rsidRPr="007A07E1">
        <w:t>https://likumi.lv/ta/id/241413-katastrofu-medicinas-sistemas-organizesanas-noteikumi</w:t>
      </w:r>
    </w:p>
    <w:p w14:paraId="279737F7" w14:textId="6697028E" w:rsidR="009F4130" w:rsidRPr="004A7C10" w:rsidRDefault="009F4130" w:rsidP="00C93D0B">
      <w:pPr>
        <w:tabs>
          <w:tab w:val="left" w:pos="561"/>
        </w:tabs>
        <w:ind w:left="561" w:right="20"/>
      </w:pPr>
    </w:p>
    <w:p w14:paraId="0007A937" w14:textId="5D29DCC8" w:rsidR="00EA2EBC" w:rsidRDefault="00EA2EBC">
      <w:pPr>
        <w:spacing w:before="120" w:after="120"/>
        <w:ind w:firstLine="720"/>
      </w:pPr>
      <w:r>
        <w:br w:type="page"/>
      </w:r>
    </w:p>
    <w:p w14:paraId="2A07DEB7" w14:textId="5CD49F79" w:rsidR="0041298B" w:rsidRDefault="0041298B"/>
    <w:p w14:paraId="5D719634" w14:textId="699C1F35" w:rsidR="005B6659" w:rsidRDefault="005B6659"/>
    <w:p w14:paraId="256617B0" w14:textId="58A76FD6" w:rsidR="005B6659" w:rsidRDefault="005B6659"/>
    <w:p w14:paraId="2A7A47B9" w14:textId="2483EDB8" w:rsidR="005B6659" w:rsidRPr="004A7C10" w:rsidRDefault="005B6659"/>
    <w:sectPr w:rsidR="005B6659" w:rsidRPr="004A7C10">
      <w:headerReference w:type="default" r:id="rId14"/>
      <w:footerReference w:type="defaul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958D0" w14:textId="77777777" w:rsidR="002F786F" w:rsidRDefault="002F786F">
      <w:r>
        <w:separator/>
      </w:r>
    </w:p>
  </w:endnote>
  <w:endnote w:type="continuationSeparator" w:id="0">
    <w:p w14:paraId="13EF96F4" w14:textId="77777777" w:rsidR="002F786F" w:rsidRDefault="002F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swiss"/>
    <w:pitch w:val="variable"/>
    <w:sig w:usb0="00000003" w:usb1="0200E0A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D98D" w14:textId="77777777" w:rsidR="0041298B" w:rsidRDefault="006E26D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0A254A">
      <w:rPr>
        <w:noProof/>
        <w:color w:val="000000"/>
      </w:rPr>
      <w:t>3</w:t>
    </w:r>
    <w:r>
      <w:rPr>
        <w:color w:val="000000"/>
      </w:rPr>
      <w:fldChar w:fldCharType="end"/>
    </w:r>
  </w:p>
  <w:p w14:paraId="2D7CC041" w14:textId="77777777" w:rsidR="0041298B" w:rsidRDefault="0041298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9C4DC" w14:textId="77777777" w:rsidR="002F786F" w:rsidRDefault="002F786F">
      <w:r>
        <w:separator/>
      </w:r>
    </w:p>
  </w:footnote>
  <w:footnote w:type="continuationSeparator" w:id="0">
    <w:p w14:paraId="434A1361" w14:textId="77777777" w:rsidR="002F786F" w:rsidRDefault="002F78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D8B87" w14:textId="77777777" w:rsidR="0041298B" w:rsidRDefault="006E26D3">
    <w:pPr>
      <w:jc w:val="right"/>
      <w:rPr>
        <w:sz w:val="20"/>
        <w:szCs w:val="20"/>
      </w:rPr>
    </w:pPr>
    <w:r>
      <w:rPr>
        <w:b/>
      </w:rPr>
      <w:t>Valsts katastrofu medicīnas plāns 2020</w:t>
    </w:r>
  </w:p>
  <w:p w14:paraId="25DEB347" w14:textId="77777777" w:rsidR="0041298B" w:rsidRDefault="006E26D3">
    <w:pPr>
      <w:spacing w:line="234" w:lineRule="auto"/>
      <w:ind w:left="4500"/>
      <w:jc w:val="right"/>
      <w:rPr>
        <w:sz w:val="20"/>
        <w:szCs w:val="20"/>
      </w:rPr>
    </w:pPr>
    <w:r>
      <w:rPr>
        <w:b/>
      </w:rPr>
      <w:t xml:space="preserve">Pielikums Nr.24 </w:t>
    </w:r>
    <w:r>
      <w:t>Veselības ministrijas</w:t>
    </w:r>
    <w:r>
      <w:rPr>
        <w:b/>
      </w:rPr>
      <w:t xml:space="preserve"> </w:t>
    </w:r>
    <w:r>
      <w:t>22.12.2020</w:t>
    </w:r>
    <w:r>
      <w:rPr>
        <w:b/>
      </w:rPr>
      <w:t xml:space="preserve"> </w:t>
    </w:r>
    <w:r>
      <w:t>Nr.225</w:t>
    </w:r>
  </w:p>
  <w:p w14:paraId="6B9080BC" w14:textId="77777777" w:rsidR="0041298B" w:rsidRDefault="0041298B">
    <w:pPr>
      <w:spacing w:line="278" w:lineRule="auto"/>
    </w:pPr>
  </w:p>
  <w:p w14:paraId="21A79340" w14:textId="77777777" w:rsidR="0041298B" w:rsidRDefault="0041298B">
    <w:pPr>
      <w:pBdr>
        <w:top w:val="nil"/>
        <w:left w:val="nil"/>
        <w:bottom w:val="nil"/>
        <w:right w:val="nil"/>
        <w:between w:val="nil"/>
      </w:pBdr>
      <w:tabs>
        <w:tab w:val="center" w:pos="4680"/>
        <w:tab w:val="right" w:pos="9360"/>
      </w:tabs>
      <w:rPr>
        <w:color w:val="000000"/>
      </w:rPr>
    </w:pPr>
  </w:p>
  <w:p w14:paraId="34C8C7E8" w14:textId="77777777" w:rsidR="0041298B" w:rsidRDefault="0041298B">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36A81"/>
    <w:multiLevelType w:val="multilevel"/>
    <w:tmpl w:val="3F1443E0"/>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65F2C09"/>
    <w:multiLevelType w:val="multilevel"/>
    <w:tmpl w:val="1F16E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B30523D"/>
    <w:multiLevelType w:val="multilevel"/>
    <w:tmpl w:val="5740B87C"/>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15:restartNumberingAfterBreak="0">
    <w:nsid w:val="11E35566"/>
    <w:multiLevelType w:val="multilevel"/>
    <w:tmpl w:val="ED96138C"/>
    <w:lvl w:ilvl="0">
      <w:start w:val="1"/>
      <w:numFmt w:val="bullet"/>
      <w:lvlText w:val="•"/>
      <w:lvlJc w:val="left"/>
      <w:pPr>
        <w:ind w:left="1033" w:hanging="360"/>
      </w:pPr>
    </w:lvl>
    <w:lvl w:ilvl="1">
      <w:start w:val="1"/>
      <w:numFmt w:val="bullet"/>
      <w:lvlText w:val="o"/>
      <w:lvlJc w:val="left"/>
      <w:pPr>
        <w:ind w:left="1753" w:hanging="360"/>
      </w:pPr>
      <w:rPr>
        <w:rFonts w:ascii="Courier New" w:eastAsia="Courier New" w:hAnsi="Courier New" w:cs="Courier New"/>
      </w:rPr>
    </w:lvl>
    <w:lvl w:ilvl="2">
      <w:start w:val="1"/>
      <w:numFmt w:val="bullet"/>
      <w:lvlText w:val="▪"/>
      <w:lvlJc w:val="left"/>
      <w:pPr>
        <w:ind w:left="2473" w:hanging="360"/>
      </w:pPr>
      <w:rPr>
        <w:rFonts w:ascii="Noto Sans Symbols" w:eastAsia="Noto Sans Symbols" w:hAnsi="Noto Sans Symbols" w:cs="Noto Sans Symbols"/>
      </w:rPr>
    </w:lvl>
    <w:lvl w:ilvl="3">
      <w:start w:val="1"/>
      <w:numFmt w:val="bullet"/>
      <w:lvlText w:val="●"/>
      <w:lvlJc w:val="left"/>
      <w:pPr>
        <w:ind w:left="3193" w:hanging="360"/>
      </w:pPr>
      <w:rPr>
        <w:rFonts w:ascii="Noto Sans Symbols" w:eastAsia="Noto Sans Symbols" w:hAnsi="Noto Sans Symbols" w:cs="Noto Sans Symbols"/>
      </w:rPr>
    </w:lvl>
    <w:lvl w:ilvl="4">
      <w:start w:val="1"/>
      <w:numFmt w:val="bullet"/>
      <w:lvlText w:val="o"/>
      <w:lvlJc w:val="left"/>
      <w:pPr>
        <w:ind w:left="3913" w:hanging="360"/>
      </w:pPr>
      <w:rPr>
        <w:rFonts w:ascii="Courier New" w:eastAsia="Courier New" w:hAnsi="Courier New" w:cs="Courier New"/>
      </w:rPr>
    </w:lvl>
    <w:lvl w:ilvl="5">
      <w:start w:val="1"/>
      <w:numFmt w:val="bullet"/>
      <w:lvlText w:val="▪"/>
      <w:lvlJc w:val="left"/>
      <w:pPr>
        <w:ind w:left="4633" w:hanging="360"/>
      </w:pPr>
      <w:rPr>
        <w:rFonts w:ascii="Noto Sans Symbols" w:eastAsia="Noto Sans Symbols" w:hAnsi="Noto Sans Symbols" w:cs="Noto Sans Symbols"/>
      </w:rPr>
    </w:lvl>
    <w:lvl w:ilvl="6">
      <w:start w:val="1"/>
      <w:numFmt w:val="bullet"/>
      <w:lvlText w:val="●"/>
      <w:lvlJc w:val="left"/>
      <w:pPr>
        <w:ind w:left="5353" w:hanging="360"/>
      </w:pPr>
      <w:rPr>
        <w:rFonts w:ascii="Noto Sans Symbols" w:eastAsia="Noto Sans Symbols" w:hAnsi="Noto Sans Symbols" w:cs="Noto Sans Symbols"/>
      </w:rPr>
    </w:lvl>
    <w:lvl w:ilvl="7">
      <w:start w:val="1"/>
      <w:numFmt w:val="bullet"/>
      <w:lvlText w:val="o"/>
      <w:lvlJc w:val="left"/>
      <w:pPr>
        <w:ind w:left="6073" w:hanging="360"/>
      </w:pPr>
      <w:rPr>
        <w:rFonts w:ascii="Courier New" w:eastAsia="Courier New" w:hAnsi="Courier New" w:cs="Courier New"/>
      </w:rPr>
    </w:lvl>
    <w:lvl w:ilvl="8">
      <w:start w:val="1"/>
      <w:numFmt w:val="bullet"/>
      <w:lvlText w:val="▪"/>
      <w:lvlJc w:val="left"/>
      <w:pPr>
        <w:ind w:left="6793" w:hanging="360"/>
      </w:pPr>
      <w:rPr>
        <w:rFonts w:ascii="Noto Sans Symbols" w:eastAsia="Noto Sans Symbols" w:hAnsi="Noto Sans Symbols" w:cs="Noto Sans Symbols"/>
      </w:rPr>
    </w:lvl>
  </w:abstractNum>
  <w:abstractNum w:abstractNumId="4" w15:restartNumberingAfterBreak="0">
    <w:nsid w:val="1BDA36E6"/>
    <w:multiLevelType w:val="multilevel"/>
    <w:tmpl w:val="B7E0BC58"/>
    <w:lvl w:ilvl="0">
      <w:start w:val="1"/>
      <w:numFmt w:val="bullet"/>
      <w:lvlText w:val="▪"/>
      <w:lvlJc w:val="left"/>
      <w:pPr>
        <w:ind w:left="0" w:firstLine="0"/>
      </w:pPr>
      <w:rPr>
        <w:rFonts w:ascii="Noto Sans Symbols" w:eastAsia="Noto Sans Symbols" w:hAnsi="Noto Sans Symbols" w:cs="Noto Sans Symbols"/>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278C6EFC"/>
    <w:multiLevelType w:val="multilevel"/>
    <w:tmpl w:val="0F4C4DFC"/>
    <w:lvl w:ilvl="0">
      <w:start w:val="1"/>
      <w:numFmt w:val="decimal"/>
      <w:lvlText w:val="%1."/>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15:restartNumberingAfterBreak="0">
    <w:nsid w:val="326165AB"/>
    <w:multiLevelType w:val="multilevel"/>
    <w:tmpl w:val="5DD642E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34611E42"/>
    <w:multiLevelType w:val="multilevel"/>
    <w:tmpl w:val="18CA743A"/>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78F34C8"/>
    <w:multiLevelType w:val="multilevel"/>
    <w:tmpl w:val="3E50E7D6"/>
    <w:lvl w:ilvl="0">
      <w:start w:val="1"/>
      <w:numFmt w:val="bullet"/>
      <w:lvlText w:val="•"/>
      <w:lvlJc w:val="left"/>
      <w:pPr>
        <w:ind w:left="1440" w:hanging="360"/>
      </w:p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15:restartNumberingAfterBreak="0">
    <w:nsid w:val="4DA27E1A"/>
    <w:multiLevelType w:val="multilevel"/>
    <w:tmpl w:val="7B18AC5A"/>
    <w:lvl w:ilvl="0">
      <w:start w:val="1"/>
      <w:numFmt w:val="decimal"/>
      <w:lvlText w:val="%1."/>
      <w:lvlJc w:val="left"/>
      <w:pPr>
        <w:ind w:left="0" w:firstLine="0"/>
      </w:pPr>
      <w:rPr>
        <w:sz w:val="22"/>
        <w:szCs w:val="22"/>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565C46FA"/>
    <w:multiLevelType w:val="multilevel"/>
    <w:tmpl w:val="93FC974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1" w15:restartNumberingAfterBreak="0">
    <w:nsid w:val="5BFA611A"/>
    <w:multiLevelType w:val="multilevel"/>
    <w:tmpl w:val="D58E413C"/>
    <w:lvl w:ilvl="0">
      <w:start w:val="1"/>
      <w:numFmt w:val="bullet"/>
      <w:lvlText w:val="•"/>
      <w:lvlJc w:val="left"/>
      <w:pPr>
        <w:ind w:left="720" w:hanging="360"/>
      </w:pPr>
      <w:rPr>
        <w:rFonts w:ascii="Times New Roman" w:eastAsia="Times New Roman" w:hAnsi="Times New Roman" w:cs="Times New Roman"/>
      </w:rPr>
    </w:lvl>
    <w:lvl w:ilvl="1">
      <w:start w:val="1"/>
      <w:numFmt w:val="decimal"/>
      <w:lvlText w:val=""/>
      <w:lvlJc w:val="left"/>
      <w:pPr>
        <w:ind w:left="0" w:firstLine="0"/>
      </w:p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2" w15:restartNumberingAfterBreak="0">
    <w:nsid w:val="6BFE43E2"/>
    <w:multiLevelType w:val="multilevel"/>
    <w:tmpl w:val="EC86821A"/>
    <w:lvl w:ilvl="0">
      <w:start w:val="1"/>
      <w:numFmt w:val="bullet"/>
      <w:lvlText w:val="•"/>
      <w:lvlJc w:val="left"/>
      <w:pPr>
        <w:ind w:left="1429" w:hanging="360"/>
      </w:p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3" w15:restartNumberingAfterBreak="0">
    <w:nsid w:val="780640B1"/>
    <w:multiLevelType w:val="multilevel"/>
    <w:tmpl w:val="F474C1AA"/>
    <w:lvl w:ilvl="0">
      <w:start w:val="1"/>
      <w:numFmt w:val="bullet"/>
      <w:lvlText w:val="•"/>
      <w:lvlJc w:val="left"/>
      <w:pPr>
        <w:ind w:left="1033" w:hanging="360"/>
      </w:pPr>
    </w:lvl>
    <w:lvl w:ilvl="1">
      <w:start w:val="1"/>
      <w:numFmt w:val="bullet"/>
      <w:lvlText w:val="o"/>
      <w:lvlJc w:val="left"/>
      <w:pPr>
        <w:ind w:left="1753" w:hanging="360"/>
      </w:pPr>
      <w:rPr>
        <w:rFonts w:ascii="Courier New" w:eastAsia="Courier New" w:hAnsi="Courier New" w:cs="Courier New"/>
      </w:rPr>
    </w:lvl>
    <w:lvl w:ilvl="2">
      <w:start w:val="1"/>
      <w:numFmt w:val="bullet"/>
      <w:lvlText w:val="▪"/>
      <w:lvlJc w:val="left"/>
      <w:pPr>
        <w:ind w:left="2473" w:hanging="360"/>
      </w:pPr>
      <w:rPr>
        <w:rFonts w:ascii="Noto Sans Symbols" w:eastAsia="Noto Sans Symbols" w:hAnsi="Noto Sans Symbols" w:cs="Noto Sans Symbols"/>
      </w:rPr>
    </w:lvl>
    <w:lvl w:ilvl="3">
      <w:start w:val="1"/>
      <w:numFmt w:val="bullet"/>
      <w:lvlText w:val="●"/>
      <w:lvlJc w:val="left"/>
      <w:pPr>
        <w:ind w:left="3193" w:hanging="360"/>
      </w:pPr>
      <w:rPr>
        <w:rFonts w:ascii="Noto Sans Symbols" w:eastAsia="Noto Sans Symbols" w:hAnsi="Noto Sans Symbols" w:cs="Noto Sans Symbols"/>
      </w:rPr>
    </w:lvl>
    <w:lvl w:ilvl="4">
      <w:start w:val="1"/>
      <w:numFmt w:val="bullet"/>
      <w:lvlText w:val="o"/>
      <w:lvlJc w:val="left"/>
      <w:pPr>
        <w:ind w:left="3913" w:hanging="360"/>
      </w:pPr>
      <w:rPr>
        <w:rFonts w:ascii="Courier New" w:eastAsia="Courier New" w:hAnsi="Courier New" w:cs="Courier New"/>
      </w:rPr>
    </w:lvl>
    <w:lvl w:ilvl="5">
      <w:start w:val="1"/>
      <w:numFmt w:val="bullet"/>
      <w:lvlText w:val="▪"/>
      <w:lvlJc w:val="left"/>
      <w:pPr>
        <w:ind w:left="4633" w:hanging="360"/>
      </w:pPr>
      <w:rPr>
        <w:rFonts w:ascii="Noto Sans Symbols" w:eastAsia="Noto Sans Symbols" w:hAnsi="Noto Sans Symbols" w:cs="Noto Sans Symbols"/>
      </w:rPr>
    </w:lvl>
    <w:lvl w:ilvl="6">
      <w:start w:val="1"/>
      <w:numFmt w:val="bullet"/>
      <w:lvlText w:val="●"/>
      <w:lvlJc w:val="left"/>
      <w:pPr>
        <w:ind w:left="5353" w:hanging="360"/>
      </w:pPr>
      <w:rPr>
        <w:rFonts w:ascii="Noto Sans Symbols" w:eastAsia="Noto Sans Symbols" w:hAnsi="Noto Sans Symbols" w:cs="Noto Sans Symbols"/>
      </w:rPr>
    </w:lvl>
    <w:lvl w:ilvl="7">
      <w:start w:val="1"/>
      <w:numFmt w:val="bullet"/>
      <w:lvlText w:val="o"/>
      <w:lvlJc w:val="left"/>
      <w:pPr>
        <w:ind w:left="6073" w:hanging="360"/>
      </w:pPr>
      <w:rPr>
        <w:rFonts w:ascii="Courier New" w:eastAsia="Courier New" w:hAnsi="Courier New" w:cs="Courier New"/>
      </w:rPr>
    </w:lvl>
    <w:lvl w:ilvl="8">
      <w:start w:val="1"/>
      <w:numFmt w:val="bullet"/>
      <w:lvlText w:val="▪"/>
      <w:lvlJc w:val="left"/>
      <w:pPr>
        <w:ind w:left="6793" w:hanging="360"/>
      </w:pPr>
      <w:rPr>
        <w:rFonts w:ascii="Noto Sans Symbols" w:eastAsia="Noto Sans Symbols" w:hAnsi="Noto Sans Symbols" w:cs="Noto Sans Symbols"/>
      </w:rPr>
    </w:lvl>
  </w:abstractNum>
  <w:abstractNum w:abstractNumId="14" w15:restartNumberingAfterBreak="0">
    <w:nsid w:val="7BC21141"/>
    <w:multiLevelType w:val="multilevel"/>
    <w:tmpl w:val="611CF79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CE76ADD"/>
    <w:multiLevelType w:val="multilevel"/>
    <w:tmpl w:val="CAC8DAD8"/>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14"/>
  </w:num>
  <w:num w:numId="4">
    <w:abstractNumId w:val="11"/>
  </w:num>
  <w:num w:numId="5">
    <w:abstractNumId w:val="15"/>
  </w:num>
  <w:num w:numId="6">
    <w:abstractNumId w:val="0"/>
  </w:num>
  <w:num w:numId="7">
    <w:abstractNumId w:val="5"/>
  </w:num>
  <w:num w:numId="8">
    <w:abstractNumId w:val="6"/>
  </w:num>
  <w:num w:numId="9">
    <w:abstractNumId w:val="1"/>
  </w:num>
  <w:num w:numId="10">
    <w:abstractNumId w:val="8"/>
  </w:num>
  <w:num w:numId="11">
    <w:abstractNumId w:val="9"/>
  </w:num>
  <w:num w:numId="12">
    <w:abstractNumId w:val="13"/>
  </w:num>
  <w:num w:numId="13">
    <w:abstractNumId w:val="12"/>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98B"/>
    <w:rsid w:val="0002456B"/>
    <w:rsid w:val="0005357C"/>
    <w:rsid w:val="000A254A"/>
    <w:rsid w:val="000A79EC"/>
    <w:rsid w:val="000D36D4"/>
    <w:rsid w:val="001D002F"/>
    <w:rsid w:val="001E0668"/>
    <w:rsid w:val="00223E20"/>
    <w:rsid w:val="00285DDB"/>
    <w:rsid w:val="002F786F"/>
    <w:rsid w:val="00313289"/>
    <w:rsid w:val="003A4B3C"/>
    <w:rsid w:val="0041298B"/>
    <w:rsid w:val="00413554"/>
    <w:rsid w:val="00426FE8"/>
    <w:rsid w:val="004A7C10"/>
    <w:rsid w:val="004D0326"/>
    <w:rsid w:val="0053067E"/>
    <w:rsid w:val="005A5E00"/>
    <w:rsid w:val="005B6659"/>
    <w:rsid w:val="006A218B"/>
    <w:rsid w:val="006C17DE"/>
    <w:rsid w:val="006E26D3"/>
    <w:rsid w:val="00704E9B"/>
    <w:rsid w:val="00754A04"/>
    <w:rsid w:val="00756B7B"/>
    <w:rsid w:val="00762CAA"/>
    <w:rsid w:val="007A07E1"/>
    <w:rsid w:val="007A0C39"/>
    <w:rsid w:val="007F5602"/>
    <w:rsid w:val="0089358F"/>
    <w:rsid w:val="008F762A"/>
    <w:rsid w:val="0098715F"/>
    <w:rsid w:val="009A0F27"/>
    <w:rsid w:val="009B01A2"/>
    <w:rsid w:val="009D20D2"/>
    <w:rsid w:val="009D2142"/>
    <w:rsid w:val="009E34B8"/>
    <w:rsid w:val="009F4130"/>
    <w:rsid w:val="009F506D"/>
    <w:rsid w:val="009F64FC"/>
    <w:rsid w:val="00A25AD1"/>
    <w:rsid w:val="00AC5696"/>
    <w:rsid w:val="00B95139"/>
    <w:rsid w:val="00C93D0B"/>
    <w:rsid w:val="00C96F10"/>
    <w:rsid w:val="00C9798E"/>
    <w:rsid w:val="00D01F98"/>
    <w:rsid w:val="00D063A7"/>
    <w:rsid w:val="00D97734"/>
    <w:rsid w:val="00DA41DB"/>
    <w:rsid w:val="00DD2C21"/>
    <w:rsid w:val="00DD5039"/>
    <w:rsid w:val="00DE57FA"/>
    <w:rsid w:val="00E25D3E"/>
    <w:rsid w:val="00EA2EBC"/>
    <w:rsid w:val="00ED72DF"/>
    <w:rsid w:val="00EE5365"/>
    <w:rsid w:val="00F264D6"/>
    <w:rsid w:val="00FD1A7E"/>
    <w:rsid w:val="00FE401E"/>
    <w:rsid w:val="00FE56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F18E8"/>
  <w15:docId w15:val="{A6E26443-B9D6-2B46-AF39-5B10B9A59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lv-LV" w:eastAsia="en-GB" w:bidi="ar-SA"/>
      </w:rPr>
    </w:rPrDefault>
    <w:pPrDefault>
      <w:pPr>
        <w:spacing w:before="120" w:after="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130"/>
    <w:pPr>
      <w:spacing w:before="0" w:after="0"/>
      <w:ind w:firstLine="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240"/>
      <w:ind w:firstLine="720"/>
      <w:outlineLvl w:val="0"/>
    </w:pPr>
    <w:rPr>
      <w:rFonts w:ascii="Calibri" w:eastAsia="Calibri" w:hAnsi="Calibri" w:cs="Calibri"/>
      <w:b/>
      <w:color w:val="000000"/>
      <w:sz w:val="32"/>
      <w:szCs w:val="32"/>
    </w:rPr>
  </w:style>
  <w:style w:type="paragraph" w:styleId="Heading2">
    <w:name w:val="heading 2"/>
    <w:basedOn w:val="Normal"/>
    <w:next w:val="Normal"/>
    <w:uiPriority w:val="9"/>
    <w:unhideWhenUsed/>
    <w:qFormat/>
    <w:rsid w:val="00FD1A7E"/>
    <w:pPr>
      <w:keepNext/>
      <w:keepLines/>
      <w:spacing w:before="120" w:after="120"/>
      <w:ind w:firstLine="720"/>
      <w:outlineLvl w:val="1"/>
    </w:pPr>
    <w:rPr>
      <w:rFonts w:eastAsia="Calibri" w:cs="Calibri"/>
      <w:b/>
      <w:color w:val="000000"/>
    </w:rPr>
  </w:style>
  <w:style w:type="paragraph" w:styleId="Heading3">
    <w:name w:val="heading 3"/>
    <w:basedOn w:val="Normal"/>
    <w:next w:val="Normal"/>
    <w:uiPriority w:val="9"/>
    <w:unhideWhenUsed/>
    <w:qFormat/>
    <w:rsid w:val="00FD1A7E"/>
    <w:pPr>
      <w:keepNext/>
      <w:keepLines/>
      <w:spacing w:before="120" w:after="120"/>
      <w:ind w:firstLine="720"/>
      <w:outlineLvl w:val="2"/>
    </w:pPr>
    <w:rPr>
      <w:rFonts w:eastAsia="Calibri" w:cs="Calibri"/>
      <w:b/>
      <w:color w:val="000000"/>
      <w:sz w:val="22"/>
      <w:szCs w:val="22"/>
    </w:rPr>
  </w:style>
  <w:style w:type="paragraph" w:styleId="Heading4">
    <w:name w:val="heading 4"/>
    <w:basedOn w:val="Normal"/>
    <w:next w:val="Normal"/>
    <w:uiPriority w:val="9"/>
    <w:semiHidden/>
    <w:unhideWhenUsed/>
    <w:qFormat/>
    <w:pPr>
      <w:keepNext/>
      <w:keepLines/>
      <w:spacing w:before="240" w:after="40"/>
      <w:ind w:firstLine="720"/>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40"/>
      <w:outlineLvl w:val="4"/>
    </w:pPr>
    <w:rPr>
      <w:color w:val="2F549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ind w:firstLine="720"/>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ind w:firstLine="72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0" w:type="dxa"/>
        <w:right w:w="0" w:type="dxa"/>
      </w:tblCellMar>
    </w:tblPr>
  </w:style>
  <w:style w:type="table" w:customStyle="1" w:styleId="a0">
    <w:basedOn w:val="TableNormal"/>
    <w:pPr>
      <w:spacing w:after="0"/>
    </w:pPr>
    <w:tblPr>
      <w:tblStyleRowBandSize w:val="1"/>
      <w:tblStyleColBandSize w:val="1"/>
      <w:tblCellMar>
        <w:left w:w="0" w:type="dxa"/>
        <w:right w:w="0" w:type="dxa"/>
      </w:tblCellMar>
    </w:tblPr>
  </w:style>
  <w:style w:type="table" w:customStyle="1" w:styleId="a1">
    <w:basedOn w:val="TableNormal"/>
    <w:pPr>
      <w:spacing w:after="0"/>
    </w:pPr>
    <w:tblPr>
      <w:tblStyleRowBandSize w:val="1"/>
      <w:tblStyleColBandSize w:val="1"/>
      <w:tblCellMar>
        <w:left w:w="0" w:type="dxa"/>
        <w:right w:w="0" w:type="dxa"/>
      </w:tblCellMar>
    </w:tblPr>
  </w:style>
  <w:style w:type="table" w:customStyle="1" w:styleId="a2">
    <w:basedOn w:val="TableNormal"/>
    <w:pPr>
      <w:spacing w:after="0"/>
    </w:pPr>
    <w:tblPr>
      <w:tblStyleRowBandSize w:val="1"/>
      <w:tblStyleColBandSize w:val="1"/>
      <w:tblCellMar>
        <w:left w:w="0" w:type="dxa"/>
        <w:right w:w="0" w:type="dxa"/>
      </w:tblCellMar>
    </w:tblPr>
  </w:style>
  <w:style w:type="table" w:customStyle="1" w:styleId="a3">
    <w:basedOn w:val="TableNormal"/>
    <w:pPr>
      <w:spacing w:after="0"/>
    </w:pPr>
    <w:tblPr>
      <w:tblStyleRowBandSize w:val="1"/>
      <w:tblStyleColBandSize w:val="1"/>
      <w:tblCellMar>
        <w:left w:w="0" w:type="dxa"/>
        <w:right w:w="0" w:type="dxa"/>
      </w:tblCellMar>
    </w:tblPr>
  </w:style>
  <w:style w:type="table" w:customStyle="1" w:styleId="a4">
    <w:basedOn w:val="TableNormal"/>
    <w:pPr>
      <w:spacing w:after="0"/>
    </w:pPr>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pPr>
      <w:spacing w:before="120" w:after="120"/>
      <w:ind w:firstLine="72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6">
    <w:name w:val="6"/>
    <w:basedOn w:val="TableNormal"/>
    <w:rsid w:val="00F264D6"/>
    <w:pPr>
      <w:spacing w:after="0"/>
    </w:pPr>
    <w:rPr>
      <w:lang w:eastAsia="lv-LV"/>
    </w:rPr>
    <w:tblPr>
      <w:tblStyleRowBandSize w:val="1"/>
      <w:tblStyleColBandSize w:val="1"/>
      <w:tblCellMar>
        <w:left w:w="0" w:type="dxa"/>
        <w:right w:w="0" w:type="dxa"/>
      </w:tblCellMar>
    </w:tblPr>
  </w:style>
  <w:style w:type="paragraph" w:styleId="ListParagraph">
    <w:name w:val="List Paragraph"/>
    <w:basedOn w:val="Normal"/>
    <w:uiPriority w:val="34"/>
    <w:qFormat/>
    <w:rsid w:val="00F264D6"/>
    <w:pPr>
      <w:spacing w:before="120" w:after="120"/>
      <w:ind w:left="720" w:firstLine="720"/>
      <w:contextualSpacing/>
    </w:pPr>
    <w:rPr>
      <w:rFonts w:ascii="Calibri" w:eastAsia="Calibri" w:hAnsi="Calibri" w:cs="Calibri"/>
      <w:sz w:val="22"/>
      <w:szCs w:val="22"/>
    </w:rPr>
  </w:style>
  <w:style w:type="character" w:customStyle="1" w:styleId="Heading1Char">
    <w:name w:val="Heading 1 Char"/>
    <w:basedOn w:val="DefaultParagraphFont"/>
    <w:link w:val="Heading1"/>
    <w:uiPriority w:val="9"/>
    <w:rsid w:val="009F4130"/>
    <w:rPr>
      <w:b/>
      <w:color w:val="000000"/>
      <w:sz w:val="32"/>
      <w:szCs w:val="32"/>
    </w:rPr>
  </w:style>
  <w:style w:type="character" w:styleId="Hyperlink">
    <w:name w:val="Hyperlink"/>
    <w:basedOn w:val="DefaultParagraphFont"/>
    <w:uiPriority w:val="99"/>
    <w:unhideWhenUsed/>
    <w:rsid w:val="009F4130"/>
    <w:rPr>
      <w:color w:val="0000FF" w:themeColor="hyperlink"/>
      <w:u w:val="single"/>
    </w:rPr>
  </w:style>
  <w:style w:type="character" w:customStyle="1" w:styleId="UnresolvedMention1">
    <w:name w:val="Unresolved Mention1"/>
    <w:basedOn w:val="DefaultParagraphFont"/>
    <w:uiPriority w:val="99"/>
    <w:semiHidden/>
    <w:unhideWhenUsed/>
    <w:rsid w:val="009F4130"/>
    <w:rPr>
      <w:color w:val="605E5C"/>
      <w:shd w:val="clear" w:color="auto" w:fill="E1DFDD"/>
    </w:rPr>
  </w:style>
  <w:style w:type="paragraph" w:styleId="BalloonText">
    <w:name w:val="Balloon Text"/>
    <w:basedOn w:val="Normal"/>
    <w:link w:val="BalloonTextChar"/>
    <w:uiPriority w:val="99"/>
    <w:semiHidden/>
    <w:unhideWhenUsed/>
    <w:rsid w:val="009B01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01A2"/>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7A0C39"/>
    <w:pPr>
      <w:spacing w:before="0" w:after="0"/>
      <w:ind w:firstLine="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0C39"/>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7A07E1"/>
  </w:style>
  <w:style w:type="character" w:customStyle="1" w:styleId="doi">
    <w:name w:val="doi"/>
    <w:basedOn w:val="DefaultParagraphFont"/>
    <w:rsid w:val="007A07E1"/>
  </w:style>
  <w:style w:type="character" w:customStyle="1" w:styleId="fm-citation-ids-label">
    <w:name w:val="fm-citation-ids-label"/>
    <w:basedOn w:val="DefaultParagraphFont"/>
    <w:rsid w:val="007A07E1"/>
  </w:style>
  <w:style w:type="character" w:styleId="FollowedHyperlink">
    <w:name w:val="FollowedHyperlink"/>
    <w:basedOn w:val="DefaultParagraphFont"/>
    <w:uiPriority w:val="99"/>
    <w:semiHidden/>
    <w:unhideWhenUsed/>
    <w:rsid w:val="007A07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101412">
      <w:bodyDiv w:val="1"/>
      <w:marLeft w:val="0"/>
      <w:marRight w:val="0"/>
      <w:marTop w:val="0"/>
      <w:marBottom w:val="0"/>
      <w:divBdr>
        <w:top w:val="none" w:sz="0" w:space="0" w:color="auto"/>
        <w:left w:val="none" w:sz="0" w:space="0" w:color="auto"/>
        <w:bottom w:val="none" w:sz="0" w:space="0" w:color="auto"/>
        <w:right w:val="none" w:sz="0" w:space="0" w:color="auto"/>
      </w:divBdr>
    </w:div>
    <w:div w:id="264926781">
      <w:bodyDiv w:val="1"/>
      <w:marLeft w:val="0"/>
      <w:marRight w:val="0"/>
      <w:marTop w:val="0"/>
      <w:marBottom w:val="0"/>
      <w:divBdr>
        <w:top w:val="none" w:sz="0" w:space="0" w:color="auto"/>
        <w:left w:val="none" w:sz="0" w:space="0" w:color="auto"/>
        <w:bottom w:val="none" w:sz="0" w:space="0" w:color="auto"/>
        <w:right w:val="none" w:sz="0" w:space="0" w:color="auto"/>
      </w:divBdr>
      <w:divsChild>
        <w:div w:id="939874278">
          <w:marLeft w:val="0"/>
          <w:marRight w:val="0"/>
          <w:marTop w:val="0"/>
          <w:marBottom w:val="0"/>
          <w:divBdr>
            <w:top w:val="none" w:sz="0" w:space="0" w:color="auto"/>
            <w:left w:val="none" w:sz="0" w:space="0" w:color="auto"/>
            <w:bottom w:val="none" w:sz="0" w:space="0" w:color="auto"/>
            <w:right w:val="none" w:sz="0" w:space="0" w:color="auto"/>
          </w:divBdr>
          <w:divsChild>
            <w:div w:id="1285161928">
              <w:marLeft w:val="0"/>
              <w:marRight w:val="0"/>
              <w:marTop w:val="0"/>
              <w:marBottom w:val="0"/>
              <w:divBdr>
                <w:top w:val="none" w:sz="0" w:space="0" w:color="auto"/>
                <w:left w:val="none" w:sz="0" w:space="0" w:color="auto"/>
                <w:bottom w:val="none" w:sz="0" w:space="0" w:color="auto"/>
                <w:right w:val="none" w:sz="0" w:space="0" w:color="auto"/>
              </w:divBdr>
              <w:divsChild>
                <w:div w:id="760370087">
                  <w:marLeft w:val="0"/>
                  <w:marRight w:val="0"/>
                  <w:marTop w:val="0"/>
                  <w:marBottom w:val="0"/>
                  <w:divBdr>
                    <w:top w:val="none" w:sz="0" w:space="0" w:color="auto"/>
                    <w:left w:val="none" w:sz="0" w:space="0" w:color="auto"/>
                    <w:bottom w:val="none" w:sz="0" w:space="0" w:color="auto"/>
                    <w:right w:val="none" w:sz="0" w:space="0" w:color="auto"/>
                  </w:divBdr>
                  <w:divsChild>
                    <w:div w:id="910046762">
                      <w:marLeft w:val="0"/>
                      <w:marRight w:val="0"/>
                      <w:marTop w:val="0"/>
                      <w:marBottom w:val="0"/>
                      <w:divBdr>
                        <w:top w:val="none" w:sz="0" w:space="0" w:color="auto"/>
                        <w:left w:val="none" w:sz="0" w:space="0" w:color="auto"/>
                        <w:bottom w:val="none" w:sz="0" w:space="0" w:color="auto"/>
                        <w:right w:val="none" w:sz="0" w:space="0" w:color="auto"/>
                      </w:divBdr>
                    </w:div>
                    <w:div w:id="2485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3117">
              <w:marLeft w:val="240"/>
              <w:marRight w:val="0"/>
              <w:marTop w:val="0"/>
              <w:marBottom w:val="0"/>
              <w:divBdr>
                <w:top w:val="none" w:sz="0" w:space="0" w:color="auto"/>
                <w:left w:val="none" w:sz="0" w:space="0" w:color="auto"/>
                <w:bottom w:val="none" w:sz="0" w:space="0" w:color="auto"/>
                <w:right w:val="none" w:sz="0" w:space="0" w:color="auto"/>
              </w:divBdr>
              <w:divsChild>
                <w:div w:id="101146112">
                  <w:marLeft w:val="0"/>
                  <w:marRight w:val="0"/>
                  <w:marTop w:val="0"/>
                  <w:marBottom w:val="0"/>
                  <w:divBdr>
                    <w:top w:val="none" w:sz="0" w:space="0" w:color="auto"/>
                    <w:left w:val="none" w:sz="0" w:space="0" w:color="auto"/>
                    <w:bottom w:val="none" w:sz="0" w:space="0" w:color="auto"/>
                    <w:right w:val="none" w:sz="0" w:space="0" w:color="auto"/>
                  </w:divBdr>
                </w:div>
                <w:div w:id="154541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655743">
          <w:marLeft w:val="0"/>
          <w:marRight w:val="0"/>
          <w:marTop w:val="166"/>
          <w:marBottom w:val="166"/>
          <w:divBdr>
            <w:top w:val="none" w:sz="0" w:space="0" w:color="auto"/>
            <w:left w:val="none" w:sz="0" w:space="0" w:color="auto"/>
            <w:bottom w:val="none" w:sz="0" w:space="0" w:color="auto"/>
            <w:right w:val="none" w:sz="0" w:space="0" w:color="auto"/>
          </w:divBdr>
          <w:divsChild>
            <w:div w:id="691497261">
              <w:marLeft w:val="0"/>
              <w:marRight w:val="0"/>
              <w:marTop w:val="0"/>
              <w:marBottom w:val="0"/>
              <w:divBdr>
                <w:top w:val="none" w:sz="0" w:space="0" w:color="auto"/>
                <w:left w:val="none" w:sz="0" w:space="0" w:color="auto"/>
                <w:bottom w:val="none" w:sz="0" w:space="0" w:color="auto"/>
                <w:right w:val="none" w:sz="0" w:space="0" w:color="auto"/>
              </w:divBdr>
            </w:div>
            <w:div w:id="638656387">
              <w:marLeft w:val="0"/>
              <w:marRight w:val="0"/>
              <w:marTop w:val="166"/>
              <w:marBottom w:val="166"/>
              <w:divBdr>
                <w:top w:val="none" w:sz="0" w:space="0" w:color="auto"/>
                <w:left w:val="none" w:sz="0" w:space="0" w:color="auto"/>
                <w:bottom w:val="none" w:sz="0" w:space="0" w:color="auto"/>
                <w:right w:val="none" w:sz="0" w:space="0" w:color="auto"/>
              </w:divBdr>
              <w:divsChild>
                <w:div w:id="152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295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x.doi.org/10.1111%2Fbioe.128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86/s13054-020-03104-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7A99D-CE30-4D65-A231-1C56775E0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10531</Words>
  <Characters>6004</Characters>
  <Application>Microsoft Office Word</Application>
  <DocSecurity>0</DocSecurity>
  <Lines>50</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Viesturs Liguts</dc:creator>
  <cp:lastModifiedBy>Windows User</cp:lastModifiedBy>
  <cp:revision>6</cp:revision>
  <cp:lastPrinted>2021-03-17T07:18:00Z</cp:lastPrinted>
  <dcterms:created xsi:type="dcterms:W3CDTF">2021-03-13T10:52:00Z</dcterms:created>
  <dcterms:modified xsi:type="dcterms:W3CDTF">2021-03-17T07:32:00Z</dcterms:modified>
</cp:coreProperties>
</file>