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7B038C" w14:paraId="64CF00B5" w14:textId="5C675ABD">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-704850</wp:posOffset>
            </wp:positionH>
            <wp:positionV relativeFrom="paragraph">
              <wp:posOffset>-372110</wp:posOffset>
            </wp:positionV>
            <wp:extent cx="6616700" cy="1219200"/>
            <wp:effectExtent l="0" t="0" r="0" b="0"/>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8668" name="Picture 1" descr="C:\Users\Šlšrutš MT\Downloads\VM_ESF_LV_korigets (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434" t="24706"/>
                    <a:stretch>
                      <a:fillRect/>
                    </a:stretch>
                  </pic:blipFill>
                  <pic:spPr bwMode="auto">
                    <a:xfrm>
                      <a:off x="0" y="0"/>
                      <a:ext cx="6616700" cy="12192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page" w:tblpX="1831" w:tblpY="233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233"/>
        <w:gridCol w:w="2861"/>
        <w:gridCol w:w="3428"/>
      </w:tblGrid>
      <w:tr w14:paraId="58486E27" w14:textId="77777777">
        <w:tblPrEx>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Ex>
        <w:tc>
          <w:tcPr>
            <w:tcW w:w="8522" w:type="dxa"/>
            <w:gridSpan w:val="3"/>
            <w:tcBorders>
              <w:tl2br w:val="nil"/>
              <w:tr2bl w:val="nil"/>
            </w:tcBorders>
          </w:tcPr>
          <w:p w:rsidR="007B038C" w14:paraId="467CF55D" w14:textId="77777777">
            <w:pPr>
              <w:jc w:val="center"/>
              <w:rPr>
                <w:rFonts w:ascii="Times New Roman" w:hAnsi="Times New Roman"/>
                <w:color w:val="000000"/>
                <w:sz w:val="21"/>
                <w:szCs w:val="21"/>
                <w:lang w:eastAsia="lv-LV"/>
              </w:rPr>
            </w:pPr>
          </w:p>
          <w:p w:rsidR="00E27EFB" w:rsidRPr="007B038C" w14:paraId="301CB494" w14:textId="5B32CA04">
            <w:pPr>
              <w:jc w:val="center"/>
              <w:rPr>
                <w:rFonts w:ascii="Times New Roman" w:hAnsi="Times New Roman"/>
                <w:color w:val="000000"/>
                <w:sz w:val="21"/>
                <w:szCs w:val="21"/>
                <w:lang w:eastAsia="lv-LV"/>
              </w:rPr>
            </w:pPr>
            <w:r>
              <w:rPr>
                <w:rFonts w:ascii="Times New Roman" w:hAnsi="Times New Roman"/>
                <w:color w:val="000000"/>
                <w:sz w:val="21"/>
                <w:szCs w:val="21"/>
                <w:lang w:eastAsia="lv-LV"/>
              </w:rPr>
              <w:t>Ieteikumi izstrādāti ESF projekta „Kompleksi veselības veicināšanas un slimību profilakses pasākumi” ietvaros (identifikācijas Nr.9.2.4.1./16/I/001)</w:t>
            </w:r>
          </w:p>
        </w:tc>
      </w:tr>
      <w:tr w14:paraId="3634F638" w14:textId="77777777">
        <w:tblPrEx>
          <w:tblW w:w="0" w:type="auto"/>
          <w:tblLook w:val="04A0"/>
        </w:tblPrEx>
        <w:trPr>
          <w:trHeight w:val="11731"/>
        </w:trPr>
        <w:tc>
          <w:tcPr>
            <w:tcW w:w="8522" w:type="dxa"/>
            <w:gridSpan w:val="3"/>
            <w:tcBorders>
              <w:top w:val="nil"/>
              <w:left w:val="nil"/>
              <w:bottom w:val="nil"/>
              <w:right w:val="nil"/>
              <w:tl2br w:val="nil"/>
              <w:tr2bl w:val="nil"/>
            </w:tcBorders>
          </w:tcPr>
          <w:p w:rsidR="007B038C" w:rsidP="007B038C" w14:paraId="40716941" w14:textId="77777777">
            <w:pPr>
              <w:spacing w:after="0"/>
              <w:jc w:val="center"/>
              <w:rPr>
                <w:rFonts w:ascii="Times New Roman" w:hAnsi="Times New Roman"/>
                <w:b/>
                <w:sz w:val="28"/>
                <w:szCs w:val="28"/>
              </w:rPr>
            </w:pPr>
            <w:r>
              <w:rPr>
                <w:rFonts w:ascii="Times New Roman" w:hAnsi="Times New Roman"/>
                <w:b/>
                <w:sz w:val="28"/>
                <w:szCs w:val="28"/>
              </w:rPr>
              <w:t>Uztura ieteikumi pēc akūta pankreatīta</w:t>
            </w:r>
          </w:p>
          <w:p w:rsidR="007B038C" w14:paraId="4EFE6CF7" w14:textId="77777777">
            <w:pPr>
              <w:pStyle w:val="NormalWeb"/>
              <w:spacing w:before="0" w:beforeAutospacing="0" w:after="0" w:afterAutospacing="0" w:line="276" w:lineRule="auto"/>
              <w:rPr>
                <w:b/>
                <w:bCs/>
                <w:sz w:val="24"/>
                <w:szCs w:val="24"/>
              </w:rPr>
            </w:pPr>
          </w:p>
          <w:p w:rsidR="00E27EFB" w14:paraId="104BB058" w14:textId="42DDB891">
            <w:pPr>
              <w:pStyle w:val="NormalWeb"/>
              <w:spacing w:before="0" w:beforeAutospacing="0" w:after="0" w:afterAutospacing="0" w:line="276" w:lineRule="auto"/>
              <w:rPr>
                <w:sz w:val="24"/>
                <w:szCs w:val="24"/>
              </w:rPr>
            </w:pPr>
            <w:r>
              <w:rPr>
                <w:b/>
                <w:bCs/>
                <w:sz w:val="24"/>
                <w:szCs w:val="24"/>
              </w:rPr>
              <w:t>Aizkuņģa dziedzeris</w:t>
            </w:r>
            <w:r>
              <w:rPr>
                <w:sz w:val="24"/>
                <w:szCs w:val="24"/>
              </w:rPr>
              <w:t xml:space="preserve"> ir gremošanas orgāns, kas atrodas aiz kuņģa. Aizkuņģa dziedzeris ražo gremošanas fermentus, kas šķeļ uzturvielas - olbaltumvielas, taukus un ogļhidrātus, un izdala tās divpadsmitpirkstu zarnā. Aizkuņģa dziedzeris ražo arī hormonu insulīnu, kas regulē cukura līmeni asinīs. </w:t>
            </w:r>
          </w:p>
          <w:p w:rsidR="00E27EFB" w14:paraId="42B8CD27" w14:textId="77777777">
            <w:pPr>
              <w:pStyle w:val="NormalWeb"/>
              <w:spacing w:before="0" w:beforeAutospacing="0" w:after="0" w:afterAutospacing="0" w:line="276" w:lineRule="auto"/>
              <w:rPr>
                <w:sz w:val="24"/>
                <w:szCs w:val="24"/>
              </w:rPr>
            </w:pPr>
          </w:p>
          <w:p w:rsidR="00E27EFB" w14:paraId="46A318F3" w14:textId="77777777">
            <w:pPr>
              <w:pStyle w:val="NormalWeb"/>
              <w:spacing w:before="0" w:beforeAutospacing="0" w:after="0" w:afterAutospacing="0" w:line="276" w:lineRule="auto"/>
              <w:rPr>
                <w:sz w:val="24"/>
                <w:szCs w:val="24"/>
              </w:rPr>
            </w:pPr>
            <w:r>
              <w:rPr>
                <w:b/>
                <w:bCs/>
                <w:sz w:val="24"/>
                <w:szCs w:val="24"/>
              </w:rPr>
              <w:t>Akūts pankreatīts jeb aizkuņģa dziedzera iekaisums rodas,</w:t>
            </w:r>
            <w:r>
              <w:rPr>
                <w:sz w:val="24"/>
                <w:szCs w:val="24"/>
              </w:rPr>
              <w:t xml:space="preserve"> ja kāda iemesla dēļ gremošanas fermenti nevar nokļūt divpadsmitpirkstu zarnā, kā rezultātā tiek kavēta aizkuņģa dziedzera funkcija, kairināti aizkuņģa dziedzera audi un veidojas iekaisums. Var rasties tā saucamais pašsagremošanās process, jo gremošanas fermenti, kas nenokļūst divpadsmit pirkstu zarnā,  izdalās pašā aizkuņģa dziedzerī. Smagākos gadījumos cieš arī citi orgāni - sirds, plaušas, nieres. Biežākie akūta pankreatīta cēloņi ir žultsakmeņi un pārmērīga alkohola lietošana.</w:t>
            </w:r>
          </w:p>
          <w:p w:rsidR="00E27EFB" w14:paraId="7A00FC90" w14:textId="77777777">
            <w:pPr>
              <w:pStyle w:val="NormalWeb"/>
              <w:spacing w:before="0" w:beforeAutospacing="0" w:after="0" w:afterAutospacing="0" w:line="276" w:lineRule="auto"/>
              <w:rPr>
                <w:sz w:val="24"/>
                <w:szCs w:val="24"/>
              </w:rPr>
            </w:pPr>
          </w:p>
          <w:p w:rsidR="00E27EFB" w14:paraId="12E61BCC" w14:textId="77777777">
            <w:pPr>
              <w:pStyle w:val="NormalWeb"/>
              <w:spacing w:before="0" w:beforeAutospacing="0" w:after="0" w:afterAutospacing="0" w:line="276" w:lineRule="auto"/>
              <w:rPr>
                <w:sz w:val="24"/>
                <w:szCs w:val="24"/>
              </w:rPr>
            </w:pPr>
          </w:p>
          <w:p w:rsidR="00E27EFB" w14:paraId="20C521C6" w14:textId="77777777">
            <w:pPr>
              <w:pStyle w:val="Parasts"/>
              <w:spacing w:line="216" w:lineRule="auto"/>
              <w:jc w:val="center"/>
              <w:rPr>
                <w:rFonts w:ascii="Times New Roman" w:hAnsi="Times New Roman"/>
                <w:color w:val="000000" w:themeColor="text1"/>
                <w:sz w:val="24"/>
                <w:szCs w:val="24"/>
              </w:rPr>
            </w:pPr>
            <w:r>
              <w:rPr>
                <w:noProof/>
                <w:sz w:val="24"/>
                <w:szCs w:val="24"/>
              </w:rPr>
              <w:drawing>
                <wp:inline distT="0" distB="0" distL="0" distR="0">
                  <wp:extent cx="3470134" cy="362902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92921" name="Picture 2" descr="Diagram&#10;&#10;Description automatically generated"/>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485455" cy="3645048"/>
                          </a:xfrm>
                          <a:prstGeom prst="rect">
                            <a:avLst/>
                          </a:prstGeom>
                        </pic:spPr>
                      </pic:pic>
                    </a:graphicData>
                  </a:graphic>
                </wp:inline>
              </w:drawing>
            </w:r>
          </w:p>
          <w:p w:rsidR="007B038C" w:rsidRPr="007B038C" w:rsidP="007B038C" w14:paraId="2B174168" w14:textId="62F423F4">
            <w:pPr>
              <w:jc w:val="center"/>
              <w:rPr>
                <w:rFonts w:ascii="Times New Roman" w:hAnsi="Times New Roman"/>
                <w:color w:val="000000" w:themeColor="text1"/>
                <w:sz w:val="24"/>
                <w:szCs w:val="24"/>
              </w:rPr>
            </w:pPr>
            <w:bookmarkStart w:id="0" w:name="_Hlk53065766"/>
            <w:r>
              <w:rPr>
                <w:rFonts w:ascii="Times New Roman" w:hAnsi="Times New Roman"/>
                <w:color w:val="000000" w:themeColor="text1"/>
                <w:sz w:val="24"/>
                <w:szCs w:val="24"/>
              </w:rPr>
              <w:t xml:space="preserve">Vizualizācijai izmantots attēls no: </w:t>
            </w:r>
            <w:hyperlink r:id="rId7" w:history="1">
              <w:r>
                <w:rPr>
                  <w:rStyle w:val="Hyperlink"/>
                  <w:rFonts w:ascii="Times New Roman" w:hAnsi="Times New Roman"/>
                  <w:sz w:val="24"/>
                  <w:szCs w:val="24"/>
                </w:rPr>
                <w:t>www.uptodate.com</w:t>
              </w:r>
            </w:hyperlink>
            <w:r>
              <w:rPr>
                <w:rFonts w:ascii="Times New Roman" w:hAnsi="Times New Roman"/>
                <w:color w:val="000000" w:themeColor="text1"/>
                <w:sz w:val="24"/>
                <w:szCs w:val="24"/>
              </w:rPr>
              <w:t>.</w:t>
            </w:r>
            <w:bookmarkEnd w:id="0"/>
          </w:p>
        </w:tc>
      </w:tr>
      <w:tr w14:paraId="51CF704A" w14:textId="77777777">
        <w:tblPrEx>
          <w:tblW w:w="0" w:type="auto"/>
          <w:tblLook w:val="04A0"/>
        </w:tblPrEx>
        <w:tc>
          <w:tcPr>
            <w:tcW w:w="8522" w:type="dxa"/>
            <w:gridSpan w:val="3"/>
            <w:tcBorders>
              <w:top w:val="nil"/>
              <w:left w:val="nil"/>
              <w:bottom w:val="single" w:sz="4" w:space="0" w:color="auto"/>
              <w:right w:val="nil"/>
            </w:tcBorders>
          </w:tcPr>
          <w:p w:rsidR="007B038C" w14:paraId="5F3B3302" w14:textId="77777777">
            <w:pPr>
              <w:pStyle w:val="NormalWeb"/>
              <w:spacing w:before="0" w:beforeAutospacing="0" w:after="0" w:afterAutospacing="0" w:line="276" w:lineRule="auto"/>
              <w:rPr>
                <w:sz w:val="24"/>
                <w:szCs w:val="24"/>
              </w:rPr>
            </w:pPr>
          </w:p>
          <w:p w:rsidR="00E27EFB" w14:paraId="28D6881B" w14:textId="4B142779">
            <w:pPr>
              <w:pStyle w:val="NormalWeb"/>
              <w:spacing w:before="0" w:beforeAutospacing="0" w:after="0" w:afterAutospacing="0" w:line="276" w:lineRule="auto"/>
              <w:rPr>
                <w:sz w:val="24"/>
                <w:szCs w:val="24"/>
              </w:rPr>
            </w:pPr>
            <w:r>
              <w:rPr>
                <w:sz w:val="24"/>
                <w:szCs w:val="24"/>
              </w:rPr>
              <w:t>Uztura ieteikumi:</w:t>
            </w:r>
          </w:p>
          <w:p w:rsidR="00E27EFB" w14:paraId="49302B68" w14:textId="77777777">
            <w:pPr>
              <w:pStyle w:val="NormalWeb"/>
              <w:numPr>
                <w:ilvl w:val="0"/>
                <w:numId w:val="2"/>
              </w:numPr>
              <w:spacing w:before="0" w:beforeAutospacing="0" w:after="0" w:afterAutospacing="0" w:line="276" w:lineRule="auto"/>
              <w:ind w:left="284" w:hanging="284"/>
              <w:rPr>
                <w:sz w:val="24"/>
                <w:szCs w:val="24"/>
              </w:rPr>
            </w:pPr>
            <w:r>
              <w:rPr>
                <w:sz w:val="24"/>
                <w:szCs w:val="24"/>
              </w:rPr>
              <w:t>Aizliegts lietot alkoholiskus dzērienus, jo tie bieži ir tiešais akūta pankreatīta cēlonis.  Ja jūtat, ka netiekat galā ar vēlmi lietot alkoholiskos dzērienus pats, vērsieties pie ārsta pēc palīdzības, lai atbrīvotos no vēlmes lietot alkoholu;</w:t>
            </w:r>
          </w:p>
          <w:p w:rsidR="00E27EFB" w14:paraId="57FE0614" w14:textId="77777777">
            <w:pPr>
              <w:pStyle w:val="NormalWeb"/>
              <w:numPr>
                <w:ilvl w:val="0"/>
                <w:numId w:val="2"/>
              </w:numPr>
              <w:spacing w:before="0" w:beforeAutospacing="0" w:after="0" w:afterAutospacing="0" w:line="276" w:lineRule="auto"/>
              <w:ind w:left="284" w:hanging="284"/>
              <w:rPr>
                <w:sz w:val="24"/>
                <w:szCs w:val="24"/>
              </w:rPr>
            </w:pPr>
            <w:r>
              <w:rPr>
                <w:sz w:val="24"/>
                <w:szCs w:val="24"/>
              </w:rPr>
              <w:t>Sākotnējā periodā (parasti dažus mēnešus) uzturā jābūt samazinātam tauku daudzumam (lielāks tauku daudzums uzturā var izraisīt sāpes);</w:t>
            </w:r>
          </w:p>
          <w:p w:rsidR="00E27EFB" w14:paraId="473C0A2D" w14:textId="77777777">
            <w:pPr>
              <w:pStyle w:val="NormalWeb"/>
              <w:numPr>
                <w:ilvl w:val="0"/>
                <w:numId w:val="2"/>
              </w:numPr>
              <w:spacing w:line="276" w:lineRule="auto"/>
              <w:ind w:left="284" w:hanging="284"/>
              <w:rPr>
                <w:sz w:val="24"/>
                <w:szCs w:val="24"/>
              </w:rPr>
            </w:pPr>
            <w:r>
              <w:rPr>
                <w:sz w:val="24"/>
                <w:szCs w:val="24"/>
              </w:rPr>
              <w:t>Ēdiet mazas porcijas 5 – 7 reizes dienā;</w:t>
            </w:r>
          </w:p>
          <w:p w:rsidR="00E27EFB" w14:paraId="655F432D" w14:textId="77777777">
            <w:pPr>
              <w:pStyle w:val="NormalWeb"/>
              <w:numPr>
                <w:ilvl w:val="0"/>
                <w:numId w:val="2"/>
              </w:numPr>
              <w:spacing w:line="276" w:lineRule="auto"/>
              <w:ind w:left="284" w:hanging="284"/>
              <w:rPr>
                <w:sz w:val="24"/>
                <w:szCs w:val="24"/>
              </w:rPr>
            </w:pPr>
            <w:r>
              <w:rPr>
                <w:sz w:val="24"/>
                <w:szCs w:val="24"/>
              </w:rPr>
              <w:t>Rūpīgi sakošļājiet pārtiku;</w:t>
            </w:r>
          </w:p>
          <w:p w:rsidR="00E27EFB" w14:paraId="12A10598" w14:textId="77777777">
            <w:pPr>
              <w:pStyle w:val="NormalWeb"/>
              <w:numPr>
                <w:ilvl w:val="0"/>
                <w:numId w:val="2"/>
              </w:numPr>
              <w:spacing w:line="276" w:lineRule="auto"/>
              <w:ind w:left="284" w:hanging="284"/>
              <w:rPr>
                <w:sz w:val="24"/>
                <w:szCs w:val="24"/>
              </w:rPr>
            </w:pPr>
            <w:r>
              <w:rPr>
                <w:sz w:val="24"/>
                <w:szCs w:val="24"/>
              </w:rPr>
              <w:t>Ēdienam nevajadzētu būt ne pārāk aukstam, ne pārāk karstam;</w:t>
            </w:r>
          </w:p>
          <w:p w:rsidR="00E27EFB" w14:paraId="46604F71" w14:textId="77777777">
            <w:pPr>
              <w:pStyle w:val="NormalWeb"/>
              <w:numPr>
                <w:ilvl w:val="0"/>
                <w:numId w:val="2"/>
              </w:numPr>
              <w:spacing w:line="276" w:lineRule="auto"/>
              <w:ind w:left="284" w:hanging="284"/>
              <w:rPr>
                <w:sz w:val="24"/>
                <w:szCs w:val="24"/>
              </w:rPr>
            </w:pPr>
            <w:r>
              <w:rPr>
                <w:sz w:val="24"/>
                <w:szCs w:val="24"/>
              </w:rPr>
              <w:t>Nelietojiet saceptus, žāvētus produktus, bet garšas uzlabošanai varat ēdienam pievienot dažādas garšvielas un garšaugus: dilles, pētersīļus, timiānu, rozmarīnu, kanēli u.c.;</w:t>
            </w:r>
          </w:p>
          <w:p w:rsidR="00E27EFB" w14:paraId="77D476DE" w14:textId="77777777">
            <w:pPr>
              <w:pStyle w:val="NormalWeb"/>
              <w:numPr>
                <w:ilvl w:val="0"/>
                <w:numId w:val="2"/>
              </w:numPr>
              <w:spacing w:line="276" w:lineRule="auto"/>
              <w:ind w:left="284" w:hanging="284"/>
              <w:rPr>
                <w:sz w:val="24"/>
                <w:szCs w:val="24"/>
              </w:rPr>
            </w:pPr>
            <w:r>
              <w:rPr>
                <w:sz w:val="24"/>
                <w:szCs w:val="24"/>
              </w:rPr>
              <w:t xml:space="preserve">Parasti sākotnēji (biežāk apmērām vienu nedēļu, bet jāvadās no pašsajūtas), jāierobežo arī nešķīstošo šķiedrvielu daudzums). </w:t>
            </w:r>
          </w:p>
          <w:p w:rsidR="00E27EFB" w14:paraId="2CE1142B" w14:textId="77777777">
            <w:pPr>
              <w:spacing w:after="0" w:line="276" w:lineRule="auto"/>
              <w:jc w:val="center"/>
              <w:rPr>
                <w:rFonts w:ascii="Times New Roman" w:hAnsi="Times New Roman"/>
                <w:b/>
                <w:bCs/>
                <w:sz w:val="24"/>
                <w:szCs w:val="24"/>
              </w:rPr>
            </w:pPr>
            <w:r>
              <w:rPr>
                <w:rFonts w:ascii="Times New Roman" w:hAnsi="Times New Roman"/>
                <w:b/>
                <w:bCs/>
                <w:sz w:val="24"/>
                <w:szCs w:val="24"/>
              </w:rPr>
              <w:t>Ieteicamo un nevēlamo pārtikas produktu apkopojums:</w:t>
            </w:r>
          </w:p>
        </w:tc>
      </w:tr>
      <w:tr w14:paraId="61E2EE88" w14:textId="77777777">
        <w:tblPrEx>
          <w:tblW w:w="0" w:type="auto"/>
          <w:tblLook w:val="04A0"/>
        </w:tblPrEx>
        <w:tc>
          <w:tcPr>
            <w:tcW w:w="2233" w:type="dxa"/>
            <w:tcBorders>
              <w:top w:val="nil"/>
              <w:left w:val="nil"/>
              <w:bottom w:val="single" w:sz="4" w:space="0" w:color="auto"/>
              <w:right w:val="nil"/>
            </w:tcBorders>
          </w:tcPr>
          <w:p w:rsidR="00E27EFB" w14:paraId="1E13A957" w14:textId="77777777">
            <w:pPr>
              <w:spacing w:after="0" w:line="276" w:lineRule="auto"/>
              <w:jc w:val="center"/>
              <w:rPr>
                <w:rFonts w:ascii="Times New Roman" w:hAnsi="Times New Roman"/>
                <w:b/>
                <w:bCs/>
                <w:sz w:val="24"/>
                <w:szCs w:val="24"/>
              </w:rPr>
            </w:pPr>
          </w:p>
        </w:tc>
        <w:tc>
          <w:tcPr>
            <w:tcW w:w="2861" w:type="dxa"/>
            <w:tcBorders>
              <w:top w:val="nil"/>
              <w:left w:val="nil"/>
              <w:bottom w:val="single" w:sz="4" w:space="0" w:color="auto"/>
              <w:right w:val="nil"/>
            </w:tcBorders>
          </w:tcPr>
          <w:p w:rsidR="00E27EFB" w14:paraId="73543C01" w14:textId="77777777">
            <w:pPr>
              <w:spacing w:after="0" w:line="276" w:lineRule="auto"/>
              <w:jc w:val="center"/>
              <w:rPr>
                <w:rFonts w:ascii="Times New Roman" w:hAnsi="Times New Roman"/>
                <w:b/>
                <w:bCs/>
                <w:sz w:val="24"/>
                <w:szCs w:val="24"/>
              </w:rPr>
            </w:pPr>
          </w:p>
        </w:tc>
        <w:tc>
          <w:tcPr>
            <w:tcW w:w="3428" w:type="dxa"/>
            <w:tcBorders>
              <w:top w:val="nil"/>
              <w:left w:val="nil"/>
              <w:bottom w:val="single" w:sz="4" w:space="0" w:color="auto"/>
              <w:right w:val="nil"/>
            </w:tcBorders>
          </w:tcPr>
          <w:p w:rsidR="00E27EFB" w14:paraId="018EE48F" w14:textId="77777777">
            <w:pPr>
              <w:spacing w:after="0" w:line="276" w:lineRule="auto"/>
              <w:jc w:val="center"/>
              <w:rPr>
                <w:rFonts w:ascii="Times New Roman" w:hAnsi="Times New Roman"/>
                <w:b/>
                <w:bCs/>
                <w:sz w:val="24"/>
                <w:szCs w:val="24"/>
              </w:rPr>
            </w:pPr>
          </w:p>
        </w:tc>
      </w:tr>
      <w:tr w14:paraId="7DC56B02" w14:textId="77777777">
        <w:tblPrEx>
          <w:tblW w:w="0" w:type="auto"/>
          <w:tblLook w:val="04A0"/>
        </w:tblPrEx>
        <w:tc>
          <w:tcPr>
            <w:tcW w:w="2233" w:type="dxa"/>
            <w:tcBorders>
              <w:top w:val="single" w:sz="4" w:space="0" w:color="auto"/>
              <w:left w:val="single" w:sz="4" w:space="0" w:color="auto"/>
              <w:bottom w:val="single" w:sz="4" w:space="0" w:color="auto"/>
              <w:right w:val="single" w:sz="4" w:space="0" w:color="auto"/>
            </w:tcBorders>
          </w:tcPr>
          <w:p w:rsidR="00E27EFB" w14:paraId="59E5B42B" w14:textId="77777777">
            <w:pPr>
              <w:spacing w:after="0" w:line="276" w:lineRule="auto"/>
              <w:jc w:val="center"/>
              <w:rPr>
                <w:rFonts w:ascii="Times New Roman" w:hAnsi="Times New Roman"/>
                <w:b/>
                <w:bCs/>
                <w:sz w:val="24"/>
                <w:szCs w:val="24"/>
              </w:rPr>
            </w:pPr>
            <w:r>
              <w:rPr>
                <w:rFonts w:ascii="Times New Roman" w:hAnsi="Times New Roman"/>
                <w:b/>
                <w:bCs/>
                <w:sz w:val="24"/>
                <w:szCs w:val="24"/>
              </w:rPr>
              <w:t>Produktu veids</w:t>
            </w:r>
          </w:p>
        </w:tc>
        <w:tc>
          <w:tcPr>
            <w:tcW w:w="2861" w:type="dxa"/>
            <w:tcBorders>
              <w:top w:val="single" w:sz="4" w:space="0" w:color="auto"/>
              <w:left w:val="single" w:sz="4" w:space="0" w:color="auto"/>
              <w:bottom w:val="single" w:sz="4" w:space="0" w:color="auto"/>
              <w:right w:val="single" w:sz="4" w:space="0" w:color="auto"/>
            </w:tcBorders>
          </w:tcPr>
          <w:p w:rsidR="00E27EFB" w14:paraId="5C3DB5FA" w14:textId="77777777">
            <w:pPr>
              <w:spacing w:after="0" w:line="276" w:lineRule="auto"/>
              <w:jc w:val="center"/>
              <w:rPr>
                <w:rFonts w:ascii="Times New Roman" w:hAnsi="Times New Roman"/>
                <w:b/>
                <w:bCs/>
                <w:sz w:val="24"/>
                <w:szCs w:val="24"/>
              </w:rPr>
            </w:pPr>
            <w:r>
              <w:rPr>
                <w:rFonts w:ascii="Times New Roman" w:hAnsi="Times New Roman"/>
                <w:b/>
                <w:bCs/>
                <w:sz w:val="24"/>
                <w:szCs w:val="24"/>
              </w:rPr>
              <w:t>Ieteicamie pārtikas produkti produkti</w:t>
            </w:r>
          </w:p>
        </w:tc>
        <w:tc>
          <w:tcPr>
            <w:tcW w:w="3428" w:type="dxa"/>
            <w:tcBorders>
              <w:top w:val="single" w:sz="4" w:space="0" w:color="auto"/>
              <w:left w:val="single" w:sz="4" w:space="0" w:color="auto"/>
              <w:bottom w:val="single" w:sz="4" w:space="0" w:color="auto"/>
              <w:right w:val="single" w:sz="4" w:space="0" w:color="auto"/>
            </w:tcBorders>
          </w:tcPr>
          <w:p w:rsidR="00E27EFB" w14:paraId="467B284A" w14:textId="77777777">
            <w:pPr>
              <w:spacing w:after="0" w:line="276" w:lineRule="auto"/>
              <w:jc w:val="center"/>
              <w:rPr>
                <w:rFonts w:ascii="Times New Roman" w:hAnsi="Times New Roman"/>
                <w:b/>
                <w:bCs/>
                <w:sz w:val="24"/>
                <w:szCs w:val="24"/>
              </w:rPr>
            </w:pPr>
            <w:r>
              <w:rPr>
                <w:rFonts w:ascii="Times New Roman" w:hAnsi="Times New Roman"/>
                <w:b/>
                <w:bCs/>
                <w:sz w:val="24"/>
                <w:szCs w:val="24"/>
              </w:rPr>
              <w:t>Nevēlamie pārtikas produkti, kas var izraisīt nepatīkamus simptomus</w:t>
            </w:r>
          </w:p>
        </w:tc>
      </w:tr>
      <w:tr w14:paraId="3915D190" w14:textId="77777777">
        <w:tblPrEx>
          <w:tblW w:w="0" w:type="auto"/>
          <w:tblLook w:val="04A0"/>
        </w:tblPrEx>
        <w:tc>
          <w:tcPr>
            <w:tcW w:w="2233" w:type="dxa"/>
            <w:tcBorders>
              <w:top w:val="single" w:sz="4" w:space="0" w:color="auto"/>
              <w:left w:val="single" w:sz="4" w:space="0" w:color="000000" w:themeColor="text1"/>
              <w:bottom w:val="single" w:sz="4" w:space="0" w:color="000000" w:themeColor="text1"/>
              <w:right w:val="single" w:sz="4" w:space="0" w:color="000000" w:themeColor="text1"/>
            </w:tcBorders>
          </w:tcPr>
          <w:p w:rsidR="00E27EFB" w14:paraId="19A71A8C" w14:textId="77777777">
            <w:pPr>
              <w:pStyle w:val="NormalWeb"/>
              <w:spacing w:line="276" w:lineRule="auto"/>
              <w:rPr>
                <w:b/>
                <w:bCs/>
                <w:sz w:val="24"/>
                <w:szCs w:val="24"/>
              </w:rPr>
            </w:pPr>
            <w:r>
              <w:rPr>
                <w:b/>
                <w:bCs/>
                <w:sz w:val="24"/>
                <w:szCs w:val="24"/>
              </w:rPr>
              <w:t>Graudaugi</w:t>
            </w:r>
          </w:p>
        </w:tc>
        <w:tc>
          <w:tcPr>
            <w:tcW w:w="2861" w:type="dxa"/>
            <w:tcBorders>
              <w:top w:val="single" w:sz="4" w:space="0" w:color="auto"/>
              <w:left w:val="single" w:sz="4" w:space="0" w:color="000000" w:themeColor="text1"/>
              <w:bottom w:val="single" w:sz="4" w:space="0" w:color="000000" w:themeColor="text1"/>
              <w:right w:val="single" w:sz="4" w:space="0" w:color="000000" w:themeColor="text1"/>
            </w:tcBorders>
          </w:tcPr>
          <w:p w:rsidR="00E27EFB" w14:paraId="3AB23936" w14:textId="77777777">
            <w:pPr>
              <w:pStyle w:val="NormalWeb"/>
              <w:spacing w:line="276" w:lineRule="auto"/>
              <w:rPr>
                <w:sz w:val="24"/>
                <w:szCs w:val="24"/>
              </w:rPr>
            </w:pPr>
            <w:r>
              <w:rPr>
                <w:sz w:val="24"/>
                <w:szCs w:val="24"/>
              </w:rPr>
              <w:t>Maize (baltmaize, saldskābmaize), biezputra, makaroni</w:t>
            </w:r>
          </w:p>
          <w:p w:rsidR="00E27EFB" w14:paraId="6249A9FA" w14:textId="77777777">
            <w:pPr>
              <w:pStyle w:val="NormalWeb"/>
              <w:spacing w:line="276" w:lineRule="auto"/>
              <w:rPr>
                <w:sz w:val="24"/>
                <w:szCs w:val="24"/>
              </w:rPr>
            </w:pPr>
          </w:p>
        </w:tc>
        <w:tc>
          <w:tcPr>
            <w:tcW w:w="3428" w:type="dxa"/>
            <w:tcBorders>
              <w:top w:val="single" w:sz="4" w:space="0" w:color="auto"/>
              <w:left w:val="single" w:sz="4" w:space="0" w:color="000000" w:themeColor="text1"/>
              <w:bottom w:val="single" w:sz="4" w:space="0" w:color="000000" w:themeColor="text1"/>
              <w:right w:val="single" w:sz="4" w:space="0" w:color="000000" w:themeColor="text1"/>
            </w:tcBorders>
          </w:tcPr>
          <w:p w:rsidR="00E27EFB" w14:paraId="3F0AC219" w14:textId="77777777">
            <w:pPr>
              <w:pStyle w:val="NormalWeb"/>
              <w:contextualSpacing/>
              <w:rPr>
                <w:sz w:val="24"/>
                <w:szCs w:val="24"/>
              </w:rPr>
            </w:pPr>
            <w:r>
              <w:rPr>
                <w:sz w:val="24"/>
                <w:szCs w:val="24"/>
              </w:rPr>
              <w:t>Klijas*</w:t>
            </w:r>
          </w:p>
          <w:p w:rsidR="00E27EFB" w14:paraId="1AC5109A" w14:textId="77777777">
            <w:pPr>
              <w:pStyle w:val="NormalWeb"/>
              <w:contextualSpacing/>
              <w:rPr>
                <w:sz w:val="24"/>
                <w:szCs w:val="24"/>
              </w:rPr>
            </w:pPr>
            <w:r>
              <w:rPr>
                <w:sz w:val="24"/>
                <w:szCs w:val="24"/>
              </w:rPr>
              <w:t>Svaiga maize</w:t>
            </w:r>
          </w:p>
          <w:p w:rsidR="00E27EFB" w14:paraId="151A9D6B" w14:textId="77777777">
            <w:pPr>
              <w:pStyle w:val="NormalWeb"/>
              <w:contextualSpacing/>
              <w:rPr>
                <w:sz w:val="24"/>
                <w:szCs w:val="24"/>
              </w:rPr>
            </w:pPr>
            <w:r>
              <w:rPr>
                <w:sz w:val="24"/>
                <w:szCs w:val="24"/>
              </w:rPr>
              <w:t xml:space="preserve">Trekni konditorejas izstrādājumi (bulciņas, smalkmaizītes) </w:t>
            </w:r>
          </w:p>
        </w:tc>
      </w:tr>
      <w:tr w14:paraId="080E7E06" w14:textId="77777777">
        <w:tblPrEx>
          <w:tblW w:w="0" w:type="auto"/>
          <w:tblLook w:val="04A0"/>
        </w:tblPrEx>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151543ED" w14:textId="77777777">
            <w:pPr>
              <w:pStyle w:val="NormalWeb"/>
              <w:spacing w:line="276" w:lineRule="auto"/>
              <w:rPr>
                <w:b/>
                <w:bCs/>
                <w:sz w:val="24"/>
                <w:szCs w:val="24"/>
              </w:rPr>
            </w:pPr>
            <w:r>
              <w:rPr>
                <w:b/>
                <w:bCs/>
                <w:sz w:val="24"/>
                <w:szCs w:val="24"/>
              </w:rPr>
              <w:t>Kartupeļi</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6BDBA0EE" w14:textId="77777777">
            <w:pPr>
              <w:pStyle w:val="NormalWeb"/>
              <w:contextualSpacing/>
              <w:rPr>
                <w:sz w:val="24"/>
                <w:szCs w:val="24"/>
              </w:rPr>
            </w:pPr>
            <w:r>
              <w:rPr>
                <w:sz w:val="24"/>
                <w:szCs w:val="24"/>
              </w:rPr>
              <w:t>Vārīti kartupeļi,</w:t>
            </w:r>
          </w:p>
          <w:p w:rsidR="00E27EFB" w14:paraId="63B9AF63" w14:textId="77777777">
            <w:pPr>
              <w:pStyle w:val="NormalWeb"/>
              <w:contextualSpacing/>
              <w:rPr>
                <w:sz w:val="24"/>
                <w:szCs w:val="24"/>
              </w:rPr>
            </w:pPr>
            <w:r>
              <w:rPr>
                <w:sz w:val="24"/>
                <w:szCs w:val="24"/>
              </w:rPr>
              <w:t>kartupeļu biezputra</w:t>
            </w:r>
          </w:p>
        </w:tc>
        <w:tc>
          <w:tcPr>
            <w:tcW w:w="3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658A5C94" w14:textId="77777777">
            <w:pPr>
              <w:pStyle w:val="NormalWeb"/>
              <w:spacing w:line="276" w:lineRule="auto"/>
              <w:rPr>
                <w:sz w:val="24"/>
                <w:szCs w:val="24"/>
              </w:rPr>
            </w:pPr>
            <w:r>
              <w:rPr>
                <w:sz w:val="24"/>
                <w:szCs w:val="24"/>
              </w:rPr>
              <w:t xml:space="preserve">Frī kartupeļi, cepti kartupeļi, kroketes, kartupeļu pankūkas kartupeļu salāti </w:t>
            </w:r>
          </w:p>
        </w:tc>
      </w:tr>
      <w:tr w14:paraId="2D86035E" w14:textId="77777777">
        <w:tblPrEx>
          <w:tblW w:w="0" w:type="auto"/>
          <w:tblLook w:val="04A0"/>
        </w:tblPrEx>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2F056101" w14:textId="77777777">
            <w:pPr>
              <w:spacing w:after="0" w:line="276" w:lineRule="auto"/>
              <w:rPr>
                <w:rFonts w:ascii="Times New Roman" w:hAnsi="Times New Roman"/>
                <w:b/>
                <w:bCs/>
                <w:sz w:val="24"/>
                <w:szCs w:val="24"/>
              </w:rPr>
            </w:pPr>
            <w:r>
              <w:rPr>
                <w:rFonts w:ascii="Times New Roman" w:hAnsi="Times New Roman"/>
                <w:b/>
                <w:bCs/>
                <w:sz w:val="24"/>
                <w:szCs w:val="24"/>
              </w:rPr>
              <w:t>Dārzeņi</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7C673F5F" w14:textId="77777777">
            <w:pPr>
              <w:pStyle w:val="NormalWeb"/>
              <w:spacing w:line="276" w:lineRule="auto"/>
              <w:rPr>
                <w:sz w:val="24"/>
                <w:szCs w:val="24"/>
              </w:rPr>
            </w:pPr>
            <w:r>
              <w:rPr>
                <w:sz w:val="24"/>
                <w:szCs w:val="24"/>
              </w:rPr>
              <w:t>Burkāni, jaunie kolrābji, ziedkāposti, tomāti, kabači (termiskā apstrāde  ilgāku laiku), zaļie lapu salāti</w:t>
            </w:r>
          </w:p>
        </w:tc>
        <w:tc>
          <w:tcPr>
            <w:tcW w:w="3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1FF721D0" w14:textId="77777777">
            <w:pPr>
              <w:pStyle w:val="NormalWeb"/>
              <w:spacing w:before="0" w:beforeAutospacing="0" w:after="0" w:afterAutospacing="0" w:line="276" w:lineRule="auto"/>
              <w:rPr>
                <w:sz w:val="24"/>
                <w:szCs w:val="24"/>
              </w:rPr>
            </w:pPr>
            <w:r>
              <w:rPr>
                <w:sz w:val="24"/>
                <w:szCs w:val="24"/>
              </w:rPr>
              <w:t xml:space="preserve">Kāposti*, puravi*, sīpoli*, paprika*, redīsi, </w:t>
            </w:r>
          </w:p>
          <w:p w:rsidR="00E27EFB" w14:paraId="66D8FD9B" w14:textId="77777777">
            <w:pPr>
              <w:pStyle w:val="NormalWeb"/>
              <w:spacing w:before="0" w:beforeAutospacing="0" w:after="0" w:afterAutospacing="0" w:line="276" w:lineRule="auto"/>
              <w:rPr>
                <w:sz w:val="24"/>
                <w:szCs w:val="24"/>
              </w:rPr>
            </w:pPr>
            <w:r>
              <w:rPr>
                <w:sz w:val="24"/>
                <w:szCs w:val="24"/>
              </w:rPr>
              <w:t>sēnes*.</w:t>
            </w:r>
          </w:p>
        </w:tc>
      </w:tr>
      <w:tr w14:paraId="2178185A" w14:textId="77777777">
        <w:tblPrEx>
          <w:tblW w:w="0" w:type="auto"/>
          <w:tblLook w:val="04A0"/>
        </w:tblPrEx>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093C01BF" w14:textId="77777777">
            <w:pPr>
              <w:spacing w:after="0" w:line="276" w:lineRule="auto"/>
              <w:rPr>
                <w:rFonts w:ascii="Times New Roman" w:hAnsi="Times New Roman"/>
                <w:b/>
                <w:bCs/>
                <w:sz w:val="24"/>
                <w:szCs w:val="24"/>
              </w:rPr>
            </w:pPr>
            <w:r>
              <w:rPr>
                <w:rFonts w:ascii="Times New Roman" w:hAnsi="Times New Roman"/>
                <w:b/>
                <w:bCs/>
                <w:sz w:val="24"/>
                <w:szCs w:val="24"/>
              </w:rPr>
              <w:t>Augļi, ogas</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5E1BB2A2" w14:textId="77777777">
            <w:pPr>
              <w:pStyle w:val="NormalWeb"/>
              <w:spacing w:line="276" w:lineRule="auto"/>
              <w:rPr>
                <w:sz w:val="24"/>
                <w:szCs w:val="24"/>
              </w:rPr>
            </w:pPr>
            <w:r>
              <w:rPr>
                <w:sz w:val="24"/>
                <w:szCs w:val="24"/>
              </w:rPr>
              <w:t>Nogatavojušies, svaigi, konservēti vai vārīti augļi (ķīselis, kompots).</w:t>
            </w:r>
          </w:p>
        </w:tc>
        <w:tc>
          <w:tcPr>
            <w:tcW w:w="3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67A0DE2B" w14:textId="77777777">
            <w:pPr>
              <w:pStyle w:val="NormalWeb"/>
              <w:spacing w:line="276" w:lineRule="auto"/>
              <w:rPr>
                <w:sz w:val="24"/>
                <w:szCs w:val="24"/>
              </w:rPr>
            </w:pPr>
            <w:r>
              <w:rPr>
                <w:sz w:val="24"/>
                <w:szCs w:val="24"/>
              </w:rPr>
              <w:t>Nenogatavojušies augļi*, neapstrādāti kauleņaugļi* (plūmes, ķirši, aprikozes u.c.), avokado.</w:t>
            </w:r>
          </w:p>
        </w:tc>
      </w:tr>
      <w:tr w14:paraId="3B7C84C5" w14:textId="77777777">
        <w:tblPrEx>
          <w:tblW w:w="0" w:type="auto"/>
          <w:tblLook w:val="04A0"/>
        </w:tblPrEx>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174AEA6C" w14:textId="77777777">
            <w:pPr>
              <w:spacing w:after="0" w:line="276" w:lineRule="auto"/>
              <w:rPr>
                <w:rFonts w:ascii="Times New Roman" w:hAnsi="Times New Roman"/>
                <w:b/>
                <w:bCs/>
                <w:sz w:val="24"/>
                <w:szCs w:val="24"/>
              </w:rPr>
            </w:pPr>
            <w:r>
              <w:rPr>
                <w:rFonts w:ascii="Times New Roman" w:hAnsi="Times New Roman"/>
                <w:b/>
                <w:bCs/>
                <w:sz w:val="24"/>
                <w:szCs w:val="24"/>
              </w:rPr>
              <w:t>Gaļa, zivis, olas</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300FEDC7" w14:textId="77777777">
            <w:pPr>
              <w:pStyle w:val="NormalWeb"/>
              <w:spacing w:before="0" w:beforeAutospacing="0" w:after="0" w:afterAutospacing="0" w:line="276" w:lineRule="auto"/>
              <w:rPr>
                <w:sz w:val="24"/>
                <w:szCs w:val="24"/>
              </w:rPr>
            </w:pPr>
            <w:r>
              <w:rPr>
                <w:sz w:val="24"/>
                <w:szCs w:val="24"/>
              </w:rPr>
              <w:t>Liesa liellopu, teļa, putnu gaļa bez ādas (fileja, steiks), meža dzīvnieku gaļa gatavota mazā eļļas daudzumā (vārīta, sautēta).</w:t>
            </w:r>
          </w:p>
          <w:p w:rsidR="00E27EFB" w14:paraId="6E21BC23" w14:textId="77777777">
            <w:pPr>
              <w:pStyle w:val="NormalWeb"/>
              <w:spacing w:before="0" w:beforeAutospacing="0" w:after="0" w:afterAutospacing="0" w:line="276" w:lineRule="auto"/>
              <w:rPr>
                <w:sz w:val="24"/>
                <w:szCs w:val="24"/>
              </w:rPr>
            </w:pPr>
            <w:r>
              <w:rPr>
                <w:sz w:val="24"/>
                <w:szCs w:val="24"/>
              </w:rPr>
              <w:t xml:space="preserve">Baltās zivis (piem., menca, pikša), liesas saldūdens </w:t>
            </w:r>
            <w:r>
              <w:rPr>
                <w:sz w:val="24"/>
                <w:szCs w:val="24"/>
              </w:rPr>
              <w:t xml:space="preserve">zivis (piemēram, asaris, karpa) pagatavotas mazā tauku daudzumā, </w:t>
            </w:r>
          </w:p>
          <w:p w:rsidR="00E27EFB" w14:paraId="1F3B8A8B" w14:textId="77777777">
            <w:pPr>
              <w:pStyle w:val="NormalWeb"/>
              <w:spacing w:before="0" w:beforeAutospacing="0" w:after="0" w:afterAutospacing="0" w:line="276" w:lineRule="auto"/>
              <w:rPr>
                <w:sz w:val="24"/>
                <w:szCs w:val="24"/>
              </w:rPr>
            </w:pPr>
            <w:r>
              <w:rPr>
                <w:sz w:val="24"/>
                <w:szCs w:val="24"/>
              </w:rPr>
              <w:t>konservētas zivis savā sulā.</w:t>
            </w:r>
          </w:p>
          <w:p w:rsidR="00E27EFB" w14:paraId="4A3ECBD7" w14:textId="77777777">
            <w:pPr>
              <w:pStyle w:val="NormalWeb"/>
              <w:spacing w:before="0" w:beforeAutospacing="0" w:after="0" w:afterAutospacing="0" w:line="276" w:lineRule="auto"/>
              <w:rPr>
                <w:sz w:val="24"/>
                <w:szCs w:val="24"/>
              </w:rPr>
            </w:pPr>
            <w:r>
              <w:rPr>
                <w:sz w:val="24"/>
                <w:szCs w:val="24"/>
              </w:rPr>
              <w:t>Vārītas olas, olu kultenis.</w:t>
            </w:r>
          </w:p>
        </w:tc>
        <w:tc>
          <w:tcPr>
            <w:tcW w:w="3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661ECCAC" w14:textId="77777777">
            <w:pPr>
              <w:spacing w:after="0" w:line="240" w:lineRule="auto"/>
              <w:rPr>
                <w:rFonts w:ascii="Times New Roman" w:hAnsi="Times New Roman"/>
                <w:sz w:val="24"/>
                <w:szCs w:val="24"/>
              </w:rPr>
            </w:pPr>
            <w:r>
              <w:rPr>
                <w:rFonts w:ascii="Times New Roman" w:hAnsi="Times New Roman"/>
                <w:sz w:val="24"/>
                <w:szCs w:val="24"/>
              </w:rPr>
              <w:t>Trekna, cepta, kūpināta, pikanta,  gaļa, speķis, pīles, zoss gaļa, putnu gaļas āda, desas, gaļas konservi, subprodukti (aknas, aknu pastēte, nieres)</w:t>
            </w:r>
          </w:p>
          <w:p w:rsidR="00E27EFB" w14:paraId="469ECCF5" w14:textId="77777777">
            <w:pPr>
              <w:pStyle w:val="NormalWeb"/>
              <w:spacing w:before="0" w:beforeAutospacing="0" w:after="0" w:afterAutospacing="0" w:line="276" w:lineRule="auto"/>
              <w:rPr>
                <w:sz w:val="24"/>
                <w:szCs w:val="24"/>
              </w:rPr>
            </w:pPr>
            <w:r>
              <w:rPr>
                <w:sz w:val="24"/>
                <w:szCs w:val="24"/>
              </w:rPr>
              <w:t xml:space="preserve">Treknas zivis (zuši, lasis, siļķe), kūpinātas, marinētas, konservētas zivis vai to </w:t>
            </w:r>
            <w:r>
              <w:rPr>
                <w:sz w:val="24"/>
                <w:szCs w:val="24"/>
              </w:rPr>
              <w:t>izstrādājumi</w:t>
            </w:r>
          </w:p>
          <w:p w:rsidR="00E27EFB" w14:paraId="5529B11D" w14:textId="77777777">
            <w:pPr>
              <w:pStyle w:val="NormalWeb"/>
              <w:spacing w:before="0" w:beforeAutospacing="0" w:after="0" w:afterAutospacing="0" w:line="276" w:lineRule="auto"/>
              <w:rPr>
                <w:sz w:val="24"/>
                <w:szCs w:val="24"/>
              </w:rPr>
            </w:pPr>
            <w:r>
              <w:rPr>
                <w:sz w:val="24"/>
                <w:szCs w:val="24"/>
              </w:rPr>
              <w:t>Ceptas olas, olas dzeltenums, trekni saldie vai pikanti olu ēdieni, majonēze.</w:t>
            </w:r>
          </w:p>
        </w:tc>
      </w:tr>
      <w:tr w14:paraId="41747EA4" w14:textId="77777777">
        <w:tblPrEx>
          <w:tblW w:w="0" w:type="auto"/>
          <w:tblLook w:val="04A0"/>
        </w:tblPrEx>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32FE4E3D" w14:textId="77777777">
            <w:pPr>
              <w:spacing w:after="0" w:line="276" w:lineRule="auto"/>
              <w:rPr>
                <w:rFonts w:ascii="Times New Roman" w:hAnsi="Times New Roman"/>
                <w:b/>
                <w:bCs/>
                <w:sz w:val="24"/>
                <w:szCs w:val="24"/>
              </w:rPr>
            </w:pPr>
            <w:r>
              <w:rPr>
                <w:rFonts w:ascii="Times New Roman" w:hAnsi="Times New Roman"/>
                <w:b/>
                <w:bCs/>
                <w:sz w:val="24"/>
                <w:szCs w:val="24"/>
              </w:rPr>
              <w:t>Pākšaugi</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610C3760" w14:textId="77777777">
            <w:pPr>
              <w:pStyle w:val="NormalWeb"/>
              <w:spacing w:line="276" w:lineRule="auto"/>
              <w:rPr>
                <w:sz w:val="24"/>
                <w:szCs w:val="24"/>
              </w:rPr>
            </w:pPr>
          </w:p>
        </w:tc>
        <w:tc>
          <w:tcPr>
            <w:tcW w:w="3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2CB54713" w14:textId="77777777">
            <w:pPr>
              <w:pStyle w:val="NormalWeb"/>
              <w:spacing w:line="276" w:lineRule="auto"/>
              <w:rPr>
                <w:sz w:val="24"/>
                <w:szCs w:val="24"/>
              </w:rPr>
            </w:pPr>
            <w:r>
              <w:rPr>
                <w:sz w:val="24"/>
                <w:szCs w:val="24"/>
              </w:rPr>
              <w:t>Zirņi*, pupas*, lēcas.</w:t>
            </w:r>
          </w:p>
        </w:tc>
      </w:tr>
      <w:tr w14:paraId="3D8F7383" w14:textId="77777777">
        <w:tblPrEx>
          <w:tblW w:w="0" w:type="auto"/>
          <w:tblLook w:val="04A0"/>
        </w:tblPrEx>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2D2B3225" w14:textId="77777777">
            <w:pPr>
              <w:spacing w:after="0" w:line="276" w:lineRule="auto"/>
              <w:rPr>
                <w:rFonts w:ascii="Times New Roman" w:hAnsi="Times New Roman"/>
                <w:b/>
                <w:bCs/>
                <w:sz w:val="24"/>
                <w:szCs w:val="24"/>
              </w:rPr>
            </w:pPr>
            <w:r>
              <w:rPr>
                <w:rFonts w:ascii="Times New Roman" w:hAnsi="Times New Roman"/>
                <w:b/>
                <w:bCs/>
                <w:sz w:val="24"/>
                <w:szCs w:val="24"/>
              </w:rPr>
              <w:t>Piena produkti</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6D2F83BD" w14:textId="77777777">
            <w:pPr>
              <w:pStyle w:val="NormalWeb"/>
              <w:contextualSpacing/>
              <w:rPr>
                <w:sz w:val="24"/>
                <w:szCs w:val="24"/>
              </w:rPr>
            </w:pPr>
            <w:r>
              <w:rPr>
                <w:sz w:val="24"/>
                <w:szCs w:val="24"/>
              </w:rPr>
              <w:t>Piena produkti ar zemu tauku saturu:</w:t>
            </w:r>
          </w:p>
          <w:p w:rsidR="00E27EFB" w14:paraId="52DDE2BE" w14:textId="77777777">
            <w:pPr>
              <w:pStyle w:val="NormalWeb"/>
              <w:contextualSpacing/>
              <w:rPr>
                <w:sz w:val="24"/>
                <w:szCs w:val="24"/>
              </w:rPr>
            </w:pPr>
            <w:r>
              <w:rPr>
                <w:sz w:val="24"/>
                <w:szCs w:val="24"/>
              </w:rPr>
              <w:t xml:space="preserve">piens (tauku saturs 0,5 -1,5%), </w:t>
            </w:r>
          </w:p>
          <w:p w:rsidR="00E27EFB" w14:paraId="2550813F" w14:textId="77777777">
            <w:pPr>
              <w:pStyle w:val="NormalWeb"/>
              <w:contextualSpacing/>
              <w:rPr>
                <w:sz w:val="24"/>
                <w:szCs w:val="24"/>
              </w:rPr>
            </w:pPr>
            <w:r>
              <w:rPr>
                <w:sz w:val="24"/>
                <w:szCs w:val="24"/>
              </w:rPr>
              <w:t>vājpiena kefīrs, jogurts, paniņas (tauku saturs 0,5 -1,5%),</w:t>
            </w:r>
          </w:p>
          <w:p w:rsidR="00E27EFB" w14:paraId="1C7B08C8" w14:textId="77777777">
            <w:pPr>
              <w:pStyle w:val="NormalWeb"/>
              <w:contextualSpacing/>
              <w:rPr>
                <w:sz w:val="24"/>
                <w:szCs w:val="24"/>
              </w:rPr>
            </w:pPr>
            <w:r>
              <w:rPr>
                <w:sz w:val="24"/>
                <w:szCs w:val="24"/>
              </w:rPr>
              <w:t>biezpiens (tauku saturs 0,5%),</w:t>
            </w:r>
          </w:p>
          <w:p w:rsidR="00E27EFB" w14:paraId="370CB1A8" w14:textId="77777777">
            <w:pPr>
              <w:pStyle w:val="NormalWeb"/>
              <w:contextualSpacing/>
              <w:rPr>
                <w:sz w:val="24"/>
                <w:szCs w:val="24"/>
              </w:rPr>
            </w:pPr>
            <w:r>
              <w:rPr>
                <w:sz w:val="24"/>
                <w:szCs w:val="24"/>
              </w:rPr>
              <w:t>siers (8 -15 % tauku saturs sausnā).</w:t>
            </w:r>
          </w:p>
        </w:tc>
        <w:tc>
          <w:tcPr>
            <w:tcW w:w="3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7D083B11" w14:textId="77777777">
            <w:pPr>
              <w:pStyle w:val="NormalWeb"/>
              <w:contextualSpacing/>
              <w:rPr>
                <w:sz w:val="24"/>
                <w:szCs w:val="24"/>
              </w:rPr>
            </w:pPr>
            <w:r>
              <w:rPr>
                <w:sz w:val="24"/>
                <w:szCs w:val="24"/>
              </w:rPr>
              <w:t xml:space="preserve">Pilnpiens, pilnpiena kefīrs, pilnpiena biezpiens, skābais krējums (&gt;20% tauku saturs), </w:t>
            </w:r>
          </w:p>
          <w:p w:rsidR="00E27EFB" w14:paraId="3FCEEE7E" w14:textId="77777777">
            <w:pPr>
              <w:pStyle w:val="NormalWeb"/>
              <w:contextualSpacing/>
              <w:rPr>
                <w:sz w:val="24"/>
                <w:szCs w:val="24"/>
              </w:rPr>
            </w:pPr>
            <w:r>
              <w:rPr>
                <w:sz w:val="24"/>
                <w:szCs w:val="24"/>
              </w:rPr>
              <w:t>Sieri (tauku saturs &gt;20%),</w:t>
            </w:r>
          </w:p>
          <w:p w:rsidR="00E27EFB" w14:paraId="00A0203C" w14:textId="77777777">
            <w:pPr>
              <w:pStyle w:val="NormalWeb"/>
              <w:contextualSpacing/>
              <w:rPr>
                <w:sz w:val="24"/>
                <w:szCs w:val="24"/>
              </w:rPr>
            </w:pPr>
            <w:r>
              <w:rPr>
                <w:sz w:val="24"/>
                <w:szCs w:val="24"/>
              </w:rPr>
              <w:t>sieri ar pelējumu.</w:t>
            </w:r>
          </w:p>
          <w:p w:rsidR="00E27EFB" w14:paraId="1A0143B7" w14:textId="77777777">
            <w:pPr>
              <w:pStyle w:val="NormalWeb"/>
              <w:contextualSpacing/>
              <w:rPr>
                <w:sz w:val="24"/>
                <w:szCs w:val="24"/>
              </w:rPr>
            </w:pPr>
            <w:r>
              <w:rPr>
                <w:sz w:val="24"/>
                <w:szCs w:val="24"/>
              </w:rPr>
              <w:t>Glazētie biezpiena sieriņi, Saldējums.</w:t>
            </w:r>
          </w:p>
        </w:tc>
      </w:tr>
      <w:tr w14:paraId="3EA92EEC" w14:textId="77777777">
        <w:tblPrEx>
          <w:tblW w:w="0" w:type="auto"/>
          <w:tblLook w:val="04A0"/>
        </w:tblPrEx>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434F3820" w14:textId="77777777">
            <w:pPr>
              <w:spacing w:after="0" w:line="276" w:lineRule="auto"/>
              <w:rPr>
                <w:rFonts w:ascii="Times New Roman" w:hAnsi="Times New Roman"/>
                <w:b/>
                <w:bCs/>
                <w:sz w:val="24"/>
                <w:szCs w:val="24"/>
              </w:rPr>
            </w:pPr>
            <w:r>
              <w:rPr>
                <w:rFonts w:ascii="Times New Roman" w:hAnsi="Times New Roman"/>
                <w:b/>
                <w:bCs/>
                <w:sz w:val="24"/>
                <w:szCs w:val="24"/>
              </w:rPr>
              <w:t>Tauki</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51290960" w14:textId="77777777">
            <w:pPr>
              <w:pStyle w:val="NormalWeb"/>
              <w:spacing w:line="276" w:lineRule="auto"/>
              <w:rPr>
                <w:sz w:val="24"/>
                <w:szCs w:val="24"/>
              </w:rPr>
            </w:pPr>
            <w:r>
              <w:rPr>
                <w:sz w:val="24"/>
                <w:szCs w:val="24"/>
              </w:rPr>
              <w:t>Augu eļļas – nelielā daudzumā (1 tējk. pamatēdienreizē). Svaigais smērējamais siers       (tauku saturs 7-20%).</w:t>
            </w:r>
          </w:p>
        </w:tc>
        <w:tc>
          <w:tcPr>
            <w:tcW w:w="3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2E599B57" w14:textId="77777777">
            <w:pPr>
              <w:pStyle w:val="NormalWeb"/>
              <w:spacing w:line="276" w:lineRule="auto"/>
              <w:rPr>
                <w:sz w:val="24"/>
                <w:szCs w:val="24"/>
              </w:rPr>
            </w:pPr>
            <w:r>
              <w:rPr>
                <w:sz w:val="24"/>
                <w:szCs w:val="24"/>
              </w:rPr>
              <w:t>Augu eļļas, sviests, krējums, saldais krējums, dzīvnieku tauki – lielos daudzumos.</w:t>
            </w:r>
          </w:p>
        </w:tc>
      </w:tr>
      <w:tr w14:paraId="5B80912A" w14:textId="77777777">
        <w:tblPrEx>
          <w:tblW w:w="0" w:type="auto"/>
          <w:tblLook w:val="04A0"/>
        </w:tblPrEx>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7B79F729" w14:textId="77777777">
            <w:pPr>
              <w:spacing w:after="0" w:line="276" w:lineRule="auto"/>
              <w:rPr>
                <w:rFonts w:ascii="Times New Roman" w:hAnsi="Times New Roman"/>
                <w:b/>
                <w:bCs/>
                <w:sz w:val="24"/>
                <w:szCs w:val="24"/>
              </w:rPr>
            </w:pPr>
            <w:r>
              <w:rPr>
                <w:rFonts w:ascii="Times New Roman" w:hAnsi="Times New Roman"/>
                <w:b/>
                <w:bCs/>
                <w:sz w:val="24"/>
                <w:szCs w:val="24"/>
              </w:rPr>
              <w:t>Rieksti, žāvēti augļi</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110BE186" w14:textId="77777777">
            <w:pPr>
              <w:pStyle w:val="NormalWeb"/>
              <w:spacing w:line="276" w:lineRule="auto"/>
              <w:rPr>
                <w:sz w:val="24"/>
                <w:szCs w:val="24"/>
              </w:rPr>
            </w:pPr>
          </w:p>
        </w:tc>
        <w:tc>
          <w:tcPr>
            <w:tcW w:w="3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0FD78E73" w14:textId="77777777">
            <w:pPr>
              <w:pStyle w:val="NormalWeb"/>
              <w:spacing w:line="276" w:lineRule="auto"/>
              <w:rPr>
                <w:sz w:val="24"/>
                <w:szCs w:val="24"/>
              </w:rPr>
            </w:pPr>
            <w:r>
              <w:rPr>
                <w:sz w:val="24"/>
                <w:szCs w:val="24"/>
              </w:rPr>
              <w:t>Rieksti*,mandeles*, pistācijas*, sēklas*, žāvēti augļi</w:t>
            </w:r>
          </w:p>
        </w:tc>
      </w:tr>
      <w:tr w14:paraId="08640370" w14:textId="77777777">
        <w:tblPrEx>
          <w:tblW w:w="0" w:type="auto"/>
          <w:tblLook w:val="04A0"/>
        </w:tblPrEx>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6E4DEBB8" w14:textId="77777777">
            <w:pPr>
              <w:spacing w:after="0" w:line="276" w:lineRule="auto"/>
              <w:rPr>
                <w:rFonts w:ascii="Times New Roman" w:hAnsi="Times New Roman"/>
                <w:b/>
                <w:bCs/>
                <w:sz w:val="24"/>
                <w:szCs w:val="24"/>
              </w:rPr>
            </w:pPr>
            <w:r>
              <w:rPr>
                <w:rFonts w:ascii="Times New Roman" w:hAnsi="Times New Roman"/>
                <w:b/>
                <w:bCs/>
                <w:sz w:val="24"/>
                <w:szCs w:val="24"/>
              </w:rPr>
              <w:t>Dzērieni</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3E58EE86" w14:textId="77777777">
            <w:pPr>
              <w:pStyle w:val="NormalWeb"/>
              <w:spacing w:line="276" w:lineRule="auto"/>
              <w:rPr>
                <w:sz w:val="24"/>
                <w:szCs w:val="24"/>
              </w:rPr>
            </w:pPr>
            <w:r>
              <w:rPr>
                <w:sz w:val="24"/>
                <w:szCs w:val="24"/>
              </w:rPr>
              <w:t>Ūdens, tēja, kafija, nesaldinātas sulas</w:t>
            </w:r>
          </w:p>
        </w:tc>
        <w:tc>
          <w:tcPr>
            <w:tcW w:w="3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74C36E1B" w14:textId="77777777">
            <w:pPr>
              <w:pStyle w:val="NormalWeb"/>
              <w:spacing w:line="276" w:lineRule="auto"/>
              <w:rPr>
                <w:sz w:val="24"/>
                <w:szCs w:val="24"/>
              </w:rPr>
            </w:pPr>
            <w:r>
              <w:rPr>
                <w:sz w:val="24"/>
                <w:szCs w:val="24"/>
              </w:rPr>
              <w:t xml:space="preserve">Alkohols, saldināti un gāzēti  dzērieni (kvass, </w:t>
            </w:r>
            <w:r>
              <w:rPr>
                <w:i/>
                <w:iCs/>
                <w:sz w:val="24"/>
                <w:szCs w:val="24"/>
              </w:rPr>
              <w:t>Coca-Cola</w:t>
            </w:r>
            <w:r>
              <w:rPr>
                <w:sz w:val="24"/>
                <w:szCs w:val="24"/>
              </w:rPr>
              <w:t>, u.c.)</w:t>
            </w:r>
          </w:p>
        </w:tc>
      </w:tr>
      <w:tr w14:paraId="6ADF9ED9" w14:textId="77777777">
        <w:tblPrEx>
          <w:tblW w:w="0" w:type="auto"/>
          <w:tblLook w:val="04A0"/>
        </w:tblPrEx>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7FE49C73" w14:textId="77777777">
            <w:pPr>
              <w:spacing w:after="0" w:line="276" w:lineRule="auto"/>
              <w:rPr>
                <w:rFonts w:ascii="Times New Roman" w:hAnsi="Times New Roman"/>
                <w:b/>
                <w:bCs/>
                <w:sz w:val="24"/>
                <w:szCs w:val="24"/>
              </w:rPr>
            </w:pPr>
            <w:r>
              <w:rPr>
                <w:rFonts w:ascii="Times New Roman" w:hAnsi="Times New Roman"/>
                <w:b/>
                <w:bCs/>
                <w:sz w:val="24"/>
                <w:szCs w:val="24"/>
              </w:rPr>
              <w:t>Saldumi</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0052F3E6" w14:textId="77777777">
            <w:pPr>
              <w:pStyle w:val="NormalWeb"/>
              <w:spacing w:line="276" w:lineRule="auto"/>
              <w:rPr>
                <w:sz w:val="24"/>
                <w:szCs w:val="24"/>
              </w:rPr>
            </w:pPr>
            <w:r>
              <w:rPr>
                <w:sz w:val="24"/>
                <w:szCs w:val="24"/>
              </w:rPr>
              <w:t>Ievārījums, marmelāde, medus. Augļu kūkas bez putukrējuma, bezē, kēksi, zefīrs, želejas.</w:t>
            </w:r>
          </w:p>
        </w:tc>
        <w:tc>
          <w:tcPr>
            <w:tcW w:w="3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EFB" w14:paraId="09636572" w14:textId="77777777">
            <w:pPr>
              <w:pStyle w:val="NormalWeb"/>
              <w:contextualSpacing/>
              <w:rPr>
                <w:sz w:val="24"/>
                <w:szCs w:val="24"/>
              </w:rPr>
            </w:pPr>
            <w:r>
              <w:rPr>
                <w:sz w:val="24"/>
                <w:szCs w:val="24"/>
              </w:rPr>
              <w:t>Putukrējuma/krēma tortes.</w:t>
            </w:r>
          </w:p>
          <w:p w:rsidR="00E27EFB" w14:paraId="4537844E" w14:textId="77777777">
            <w:pPr>
              <w:pStyle w:val="NormalWeb"/>
              <w:contextualSpacing/>
              <w:rPr>
                <w:sz w:val="24"/>
                <w:szCs w:val="24"/>
              </w:rPr>
            </w:pPr>
            <w:r>
              <w:rPr>
                <w:sz w:val="24"/>
                <w:szCs w:val="24"/>
              </w:rPr>
              <w:t xml:space="preserve">Šokolāde, </w:t>
            </w:r>
          </w:p>
          <w:p w:rsidR="00E27EFB" w14:paraId="7DDB8DE6" w14:textId="77777777">
            <w:pPr>
              <w:pStyle w:val="NormalWeb"/>
              <w:contextualSpacing/>
              <w:rPr>
                <w:sz w:val="24"/>
                <w:szCs w:val="24"/>
              </w:rPr>
            </w:pPr>
            <w:r>
              <w:rPr>
                <w:sz w:val="24"/>
                <w:szCs w:val="24"/>
              </w:rPr>
              <w:t>šokolādes konfektes, marcipāns.</w:t>
            </w:r>
          </w:p>
        </w:tc>
      </w:tr>
      <w:tr w14:paraId="486F03C8" w14:textId="77777777">
        <w:tblPrEx>
          <w:tblW w:w="0" w:type="auto"/>
          <w:tblLook w:val="04A0"/>
        </w:tblPrEx>
        <w:tc>
          <w:tcPr>
            <w:tcW w:w="8522" w:type="dxa"/>
            <w:gridSpan w:val="3"/>
            <w:tcBorders>
              <w:top w:val="single" w:sz="4" w:space="0" w:color="000000" w:themeColor="text1"/>
              <w:tl2br w:val="nil"/>
              <w:tr2bl w:val="nil"/>
            </w:tcBorders>
          </w:tcPr>
          <w:p w:rsidR="00E27EFB" w14:paraId="1FDDD30F" w14:textId="77777777">
            <w:pPr>
              <w:pStyle w:val="NormalWeb"/>
              <w:tabs>
                <w:tab w:val="left" w:pos="975"/>
              </w:tabs>
              <w:spacing w:before="0" w:beforeAutospacing="0" w:after="0" w:afterAutospacing="0" w:line="360" w:lineRule="auto"/>
              <w:rPr>
                <w:sz w:val="24"/>
                <w:szCs w:val="24"/>
              </w:rPr>
            </w:pPr>
            <w:r>
              <w:rPr>
                <w:sz w:val="24"/>
                <w:szCs w:val="24"/>
              </w:rPr>
              <w:t>*produkti, kas satur nešķīstošās šķiedrvielas</w:t>
            </w:r>
          </w:p>
          <w:p w:rsidR="00E27EFB" w14:paraId="1BF6B367" w14:textId="77777777">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Minētie uztura ieteikumi parasti ir jāievēro dažas nedēļas Pēc tam pakāpeniski ir jāatsāk lietot veselīgs sabalansēts uzturs. Vairāk informācijas par veselīgu uzturu meklējiet Veselības ministrijas mājaslapā: </w:t>
            </w:r>
            <w:hyperlink r:id="rId8" w:history="1">
              <w:r>
                <w:rPr>
                  <w:rStyle w:val="Hyperlink"/>
                  <w:rFonts w:ascii="Times New Roman" w:hAnsi="Times New Roman"/>
                  <w:color w:val="000000" w:themeColor="text1"/>
                  <w:sz w:val="24"/>
                  <w:szCs w:val="24"/>
                </w:rPr>
                <w:t>http://www.vm.gov.lv/lv/tava_veseliba/veseligs_uzturs/,</w:t>
              </w:r>
            </w:hyperlink>
            <w:r>
              <w:rPr>
                <w:rFonts w:ascii="Times New Roman" w:hAnsi="Times New Roman"/>
                <w:color w:val="000000" w:themeColor="text1"/>
                <w:sz w:val="24"/>
                <w:szCs w:val="24"/>
              </w:rPr>
              <w:t xml:space="preserve"> kā arī īpaša uzmanība jāpievērš pakāpeniskai tauku daudzuma palielināšanai uzturā.</w:t>
            </w:r>
          </w:p>
          <w:p w:rsidR="00E27EFB" w14:paraId="624D3ECC" w14:textId="77777777">
            <w:pPr>
              <w:spacing w:line="276" w:lineRule="auto"/>
              <w:rPr>
                <w:rFonts w:ascii="Times New Roman" w:hAnsi="Times New Roman"/>
                <w:sz w:val="24"/>
                <w:szCs w:val="24"/>
              </w:rPr>
            </w:pPr>
            <w:r>
              <w:rPr>
                <w:rFonts w:ascii="Times New Roman" w:hAnsi="Times New Roman"/>
                <w:color w:val="000000" w:themeColor="text1"/>
                <w:sz w:val="24"/>
                <w:szCs w:val="24"/>
              </w:rPr>
              <w:t>Ja ir bijis ievērojams svara zudums (5-10% no ķermeņa masas), tad īpaša uzmanība jāpievērš pilnvērtīgam uzturam, biežām maltītēm un olbaltumvielas saturošiem produktiem.</w:t>
            </w:r>
          </w:p>
        </w:tc>
      </w:tr>
      <w:tr w14:paraId="66545DA5" w14:textId="77777777">
        <w:tblPrEx>
          <w:tblW w:w="0" w:type="auto"/>
          <w:tblLook w:val="04A0"/>
        </w:tblPrEx>
        <w:tc>
          <w:tcPr>
            <w:tcW w:w="8522" w:type="dxa"/>
            <w:gridSpan w:val="3"/>
            <w:tcBorders>
              <w:top w:val="nil"/>
              <w:tl2br w:val="nil"/>
              <w:tr2bl w:val="nil"/>
            </w:tcBorders>
          </w:tcPr>
          <w:p w:rsidR="00E27EFB" w14:paraId="65F0EA2B" w14:textId="77777777">
            <w:pPr>
              <w:spacing w:line="276" w:lineRule="auto"/>
              <w:rPr>
                <w:rFonts w:ascii="Times New Roman" w:hAnsi="Times New Roman"/>
                <w:b/>
                <w:bCs/>
                <w:color w:val="000000" w:themeColor="text1"/>
                <w:sz w:val="24"/>
                <w:szCs w:val="24"/>
              </w:rPr>
            </w:pPr>
          </w:p>
        </w:tc>
      </w:tr>
      <w:tr w14:paraId="34C6C70A" w14:textId="77777777">
        <w:tblPrEx>
          <w:tblW w:w="0" w:type="auto"/>
          <w:tblLook w:val="04A0"/>
        </w:tblPrEx>
        <w:tc>
          <w:tcPr>
            <w:tcW w:w="8522" w:type="dxa"/>
            <w:gridSpan w:val="3"/>
            <w:tcBorders>
              <w:tl2br w:val="nil"/>
              <w:tr2bl w:val="nil"/>
            </w:tcBorders>
          </w:tcPr>
          <w:p w:rsidR="007B038C" w:rsidP="007B038C" w14:paraId="6C4A97C1" w14:textId="77777777">
            <w:pPr>
              <w:pStyle w:val="ListBullet"/>
              <w:numPr>
                <w:ilvl w:val="0"/>
                <w:numId w:val="0"/>
              </w:numPr>
              <w:rPr>
                <w:rFonts w:ascii="Times New Roman" w:hAnsi="Times New Roman"/>
                <w:bCs/>
                <w:sz w:val="24"/>
                <w:szCs w:val="24"/>
              </w:rPr>
            </w:pPr>
            <w:r>
              <w:rPr>
                <w:rFonts w:ascii="Times New Roman" w:hAnsi="Times New Roman"/>
                <w:bCs/>
                <w:sz w:val="24"/>
                <w:szCs w:val="24"/>
              </w:rPr>
              <w:t xml:space="preserve">Ieteikumi sagatavoti sadarbībā ar Rīgas Stradiņa universitātes asoc. prof., P.Stradiņa klīniskās universitātes slimnīcas dietoloģi,  Latvijas Uzturzinātnes speciālistu biedrības valdes priekšsēdētāju Dr.Lailu Meiju. Informatīvajā materiālā iekļautā </w:t>
            </w:r>
            <w:r>
              <w:rPr>
                <w:rFonts w:ascii="Times New Roman" w:hAnsi="Times New Roman"/>
                <w:bCs/>
                <w:sz w:val="24"/>
                <w:szCs w:val="24"/>
              </w:rPr>
              <w:t>informācija ir saskaņota ar Latvijas Gastroenterologu asociāciju un Latvijas Ķirurgu asociāciju.</w:t>
            </w:r>
          </w:p>
          <w:p w:rsidR="00E27EFB" w:rsidP="007B038C" w14:paraId="27C7BDBD" w14:textId="04ACBDA7">
            <w:pPr>
              <w:pStyle w:val="ListBullet"/>
              <w:numPr>
                <w:ilvl w:val="0"/>
                <w:numId w:val="0"/>
              </w:numPr>
              <w:rPr>
                <w:rFonts w:ascii="Times New Roman" w:hAnsi="Times New Roman"/>
                <w:bCs/>
                <w:i/>
                <w:sz w:val="24"/>
                <w:szCs w:val="24"/>
                <w:lang w:val="en-US"/>
              </w:rPr>
            </w:pPr>
            <w:r>
              <w:rPr>
                <w:rFonts w:ascii="Times New Roman" w:hAnsi="Times New Roman"/>
                <w:bCs/>
                <w:i/>
                <w:sz w:val="24"/>
                <w:szCs w:val="24"/>
              </w:rPr>
              <w:t xml:space="preserve">Rekomendācijas ir vispārīgas. Katram cilvēkam ir savas individuālās uztura vajadzības, ņemot vērā slimības smagumu, citas slimības, produktu nepanesību, lietotos medikamentus, vecumu, dzimumu, fizisko aktivitāti u.c. faktorus. </w:t>
            </w:r>
            <w:r>
              <w:rPr>
                <w:rFonts w:ascii="Times New Roman" w:hAnsi="Times New Roman"/>
                <w:bCs/>
                <w:i/>
                <w:sz w:val="24"/>
                <w:szCs w:val="24"/>
                <w:lang w:val="en-US"/>
              </w:rPr>
              <w:t>Lai saņemtu individuālas rekomendācijas, konsultējaties ar dietologu vai uztura speciālistu.</w:t>
            </w:r>
          </w:p>
        </w:tc>
      </w:tr>
      <w:tr w14:paraId="38FBD97A" w14:textId="77777777">
        <w:tblPrEx>
          <w:tblW w:w="0" w:type="auto"/>
          <w:tblLook w:val="04A0"/>
        </w:tblPrEx>
        <w:tc>
          <w:tcPr>
            <w:tcW w:w="8522" w:type="dxa"/>
            <w:gridSpan w:val="3"/>
            <w:tcBorders>
              <w:tl2br w:val="nil"/>
              <w:tr2bl w:val="nil"/>
            </w:tcBorders>
          </w:tcPr>
          <w:p w:rsidR="00E27EFB" w14:paraId="48CE9A22"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b/>
                <w:bCs/>
                <w:sz w:val="24"/>
                <w:szCs w:val="24"/>
              </w:rPr>
              <w:t>Izmantotās literatūras avoti:</w:t>
            </w:r>
          </w:p>
        </w:tc>
      </w:tr>
      <w:tr w14:paraId="3EB1CAF2" w14:textId="77777777">
        <w:tblPrEx>
          <w:tblW w:w="0" w:type="auto"/>
          <w:tblLook w:val="04A0"/>
        </w:tblPrEx>
        <w:tc>
          <w:tcPr>
            <w:tcW w:w="8522" w:type="dxa"/>
            <w:gridSpan w:val="3"/>
            <w:tcBorders>
              <w:tl2br w:val="nil"/>
              <w:tr2bl w:val="nil"/>
            </w:tcBorders>
          </w:tcPr>
          <w:p w:rsidR="00E27EFB" w14:paraId="30D2EFF8" w14:textId="77777777">
            <w:pPr>
              <w:pStyle w:val="ListParagraph"/>
              <w:numPr>
                <w:ilvl w:val="0"/>
                <w:numId w:val="3"/>
              </w:numPr>
              <w:rPr>
                <w:rFonts w:ascii="Times New Roman" w:eastAsia="Times New Roman" w:hAnsi="Times New Roman"/>
                <w:sz w:val="24"/>
                <w:szCs w:val="24"/>
                <w:lang w:eastAsia="en-GB"/>
              </w:rPr>
            </w:pPr>
            <w:r>
              <w:rPr>
                <w:rFonts w:ascii="Times New Roman" w:eastAsia="Times New Roman" w:hAnsi="Times New Roman"/>
                <w:sz w:val="24"/>
                <w:szCs w:val="24"/>
                <w:lang w:eastAsia="en-GB"/>
              </w:rPr>
              <w:t>Mayo Clinic Pancreatitis https://www.mayoclinic.org/diseases-conditions/pancreatitis/diagnosis-treatment/drc-20360233</w:t>
            </w:r>
          </w:p>
          <w:p w:rsidR="00E27EFB" w14:paraId="274CBDFC" w14:textId="77777777">
            <w:pPr>
              <w:pStyle w:val="ListParagraph"/>
              <w:numPr>
                <w:ilvl w:val="0"/>
                <w:numId w:val="3"/>
              </w:numPr>
              <w:rPr>
                <w:rFonts w:ascii="Times New Roman" w:eastAsia="Times New Roman" w:hAnsi="Times New Roman"/>
                <w:sz w:val="24"/>
                <w:szCs w:val="24"/>
                <w:lang w:eastAsia="en-GB"/>
              </w:rPr>
            </w:pPr>
            <w:r>
              <w:rPr>
                <w:rFonts w:ascii="Times New Roman" w:hAnsi="Times New Roman"/>
                <w:sz w:val="24"/>
                <w:szCs w:val="24"/>
              </w:rPr>
              <w:t xml:space="preserve">Milton Keynes Hospital NHS Foundation Trust  </w:t>
            </w:r>
            <w:hyperlink r:id="rId9" w:history="1">
              <w:r>
                <w:rPr>
                  <w:rFonts w:ascii="Times New Roman" w:eastAsia="Times New Roman" w:hAnsi="Times New Roman"/>
                  <w:color w:val="0000FF"/>
                  <w:sz w:val="24"/>
                  <w:szCs w:val="24"/>
                  <w:u w:val="single"/>
                  <w:lang w:eastAsia="en-GB"/>
                </w:rPr>
                <w:t>https://www.parksmed.co.uk/wp-content/uploads/2013/10/Pancreatitis-Acute_-Diet-Advice_MKH-Leaflet.pdf</w:t>
              </w:r>
            </w:hyperlink>
          </w:p>
          <w:p w:rsidR="00E27EFB" w14:paraId="46212B90" w14:textId="77777777">
            <w:pPr>
              <w:pStyle w:val="ListParagraph"/>
              <w:numPr>
                <w:ilvl w:val="0"/>
                <w:numId w:val="3"/>
              </w:numPr>
              <w:rPr>
                <w:rStyle w:val="Hyperlink"/>
                <w:rFonts w:ascii="Times New Roman" w:eastAsia="Times New Roman" w:hAnsi="Times New Roman"/>
                <w:color w:val="auto"/>
                <w:sz w:val="24"/>
                <w:szCs w:val="24"/>
                <w:u w:val="none"/>
                <w:lang w:eastAsia="en-GB"/>
              </w:rPr>
            </w:pPr>
            <w:r>
              <w:rPr>
                <w:rFonts w:ascii="Times New Roman" w:eastAsia="Times New Roman" w:hAnsi="Times New Roman"/>
                <w:sz w:val="24"/>
                <w:szCs w:val="24"/>
                <w:lang w:eastAsia="en-GB"/>
              </w:rPr>
              <w:t xml:space="preserve">MSD Manual Consumer Version </w:t>
            </w:r>
            <w:hyperlink r:id="rId10" w:history="1">
              <w:r>
                <w:rPr>
                  <w:rStyle w:val="Hyperlink"/>
                  <w:rFonts w:ascii="Times New Roman" w:eastAsia="Times New Roman" w:hAnsi="Times New Roman"/>
                  <w:sz w:val="24"/>
                  <w:szCs w:val="24"/>
                  <w:lang w:eastAsia="en-GB"/>
                </w:rPr>
                <w:t>https://www.msdmanuals.com/home/digestive-disorders/pancreatitis/acute-pancreatitis</w:t>
              </w:r>
            </w:hyperlink>
          </w:p>
          <w:p w:rsidR="00E27EFB" w14:paraId="019103F1" w14:textId="77777777">
            <w:pPr>
              <w:pStyle w:val="ListParagraph"/>
              <w:numPr>
                <w:ilvl w:val="0"/>
                <w:numId w:val="3"/>
              </w:numPr>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Attēla izmantošana saskaņota ar www.uptodate.com vietnes uzturētāju un attēla autoru Vege SS. Attēla pirmavots: Vege SS. Patient education: Acute pancreatitis (Beyond the Basics). Copyright © 2020 UpToDate, Inc. </w:t>
            </w:r>
            <w:r>
              <w:rPr>
                <w:rFonts w:ascii="Times New Roman" w:eastAsia="Times New Roman" w:hAnsi="Times New Roman"/>
                <w:sz w:val="24"/>
                <w:szCs w:val="24"/>
                <w:lang w:val="en-US" w:eastAsia="en-GB"/>
              </w:rPr>
              <w:t xml:space="preserve"> Attēla autors neuzņemas atbildību par attēla tulkojumu. Attēls oriģinālvalodā skatāms: </w:t>
            </w:r>
            <w:r>
              <w:rPr>
                <w:rFonts w:ascii="Times New Roman" w:eastAsia="Times New Roman" w:hAnsi="Times New Roman"/>
                <w:sz w:val="24"/>
                <w:szCs w:val="24"/>
                <w:lang w:eastAsia="en-GB"/>
              </w:rPr>
              <w:t>www.uptodate.com</w:t>
            </w:r>
          </w:p>
          <w:p w:rsidR="00E27EFB" w14:paraId="3350D2BF"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660" w:hanging="660" w:hangingChars="300"/>
              <w:textAlignment w:val="auto"/>
              <w:rPr>
                <w:rFonts w:ascii="Times New Roman" w:hAnsi="Times New Roman"/>
              </w:rPr>
            </w:pPr>
          </w:p>
        </w:tc>
      </w:tr>
      <w:tr w14:paraId="655CFA33" w14:textId="77777777">
        <w:tblPrEx>
          <w:tblW w:w="0" w:type="auto"/>
          <w:tblLook w:val="04A0"/>
        </w:tblPrEx>
        <w:tc>
          <w:tcPr>
            <w:tcW w:w="2233" w:type="dxa"/>
            <w:tcBorders>
              <w:tl2br w:val="nil"/>
              <w:tr2bl w:val="nil"/>
            </w:tcBorders>
          </w:tcPr>
          <w:p w:rsidR="00E27EFB" w14:paraId="45C377EC"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c>
          <w:tcPr>
            <w:tcW w:w="2861" w:type="dxa"/>
            <w:tcBorders>
              <w:tl2br w:val="nil"/>
              <w:tr2bl w:val="nil"/>
            </w:tcBorders>
          </w:tcPr>
          <w:p w:rsidR="00E27EFB" w14:paraId="76DC7E56"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c>
          <w:tcPr>
            <w:tcW w:w="3428" w:type="dxa"/>
            <w:tcBorders>
              <w:tl2br w:val="nil"/>
              <w:tr2bl w:val="nil"/>
            </w:tcBorders>
          </w:tcPr>
          <w:p w:rsidR="00E27EFB" w14:paraId="03E78EC6"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r>
      <w:tr w14:paraId="112B5839" w14:textId="77777777">
        <w:tblPrEx>
          <w:tblW w:w="0" w:type="auto"/>
          <w:tblLook w:val="04A0"/>
        </w:tblPrEx>
        <w:tc>
          <w:tcPr>
            <w:tcW w:w="2233" w:type="dxa"/>
            <w:tcBorders>
              <w:tl2br w:val="nil"/>
              <w:tr2bl w:val="nil"/>
            </w:tcBorders>
          </w:tcPr>
          <w:p w:rsidR="00E27EFB" w14:paraId="3AF7602D"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c>
          <w:tcPr>
            <w:tcW w:w="2861" w:type="dxa"/>
            <w:tcBorders>
              <w:tl2br w:val="nil"/>
              <w:tr2bl w:val="nil"/>
            </w:tcBorders>
          </w:tcPr>
          <w:p w:rsidR="00E27EFB" w14:paraId="3F317C88"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rPr>
            </w:pPr>
          </w:p>
        </w:tc>
        <w:tc>
          <w:tcPr>
            <w:tcW w:w="3428" w:type="dxa"/>
            <w:tcBorders>
              <w:tl2br w:val="nil"/>
              <w:tr2bl w:val="nil"/>
            </w:tcBorders>
          </w:tcPr>
          <w:p w:rsidR="00E27EFB" w14:paraId="6883539B"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rPr>
            </w:pPr>
          </w:p>
        </w:tc>
      </w:tr>
      <w:tr w14:paraId="1CF24DE5" w14:textId="77777777">
        <w:tblPrEx>
          <w:tblW w:w="0" w:type="auto"/>
          <w:tblLook w:val="04A0"/>
        </w:tblPrEx>
        <w:tc>
          <w:tcPr>
            <w:tcW w:w="2233" w:type="dxa"/>
            <w:tcBorders>
              <w:tl2br w:val="nil"/>
              <w:tr2bl w:val="nil"/>
            </w:tcBorders>
          </w:tcPr>
          <w:p w:rsidR="00E27EFB" w14:paraId="46E4404C" w14:textId="77777777">
            <w:pPr>
              <w:rPr>
                <w:rFonts w:ascii="Times New Roman" w:hAnsi="Times New Roman"/>
              </w:rPr>
            </w:pPr>
          </w:p>
        </w:tc>
        <w:tc>
          <w:tcPr>
            <w:tcW w:w="2861" w:type="dxa"/>
            <w:tcBorders>
              <w:tl2br w:val="nil"/>
              <w:tr2bl w:val="nil"/>
            </w:tcBorders>
          </w:tcPr>
          <w:p w:rsidR="00E27EFB" w14:paraId="3D83894A" w14:textId="77777777">
            <w:pPr>
              <w:rPr>
                <w:rFonts w:ascii="Times New Roman" w:hAnsi="Times New Roman"/>
              </w:rPr>
            </w:pPr>
          </w:p>
        </w:tc>
        <w:tc>
          <w:tcPr>
            <w:tcW w:w="3428" w:type="dxa"/>
            <w:tcBorders>
              <w:tl2br w:val="nil"/>
              <w:tr2bl w:val="nil"/>
            </w:tcBorders>
          </w:tcPr>
          <w:p w:rsidR="00E27EFB" w14:paraId="7A36A203" w14:textId="77777777">
            <w:pPr>
              <w:rPr>
                <w:rFonts w:ascii="Times New Roman" w:hAnsi="Times New Roman"/>
              </w:rPr>
            </w:pPr>
          </w:p>
        </w:tc>
      </w:tr>
      <w:tr w14:paraId="4E71A115" w14:textId="77777777">
        <w:tblPrEx>
          <w:tblW w:w="0" w:type="auto"/>
          <w:tblLook w:val="04A0"/>
        </w:tblPrEx>
        <w:tc>
          <w:tcPr>
            <w:tcW w:w="2233" w:type="dxa"/>
            <w:tcBorders>
              <w:tl2br w:val="nil"/>
              <w:tr2bl w:val="nil"/>
            </w:tcBorders>
          </w:tcPr>
          <w:p w:rsidR="00E27EFB" w14:paraId="16A306F6" w14:textId="77777777">
            <w:pPr>
              <w:rPr>
                <w:rFonts w:ascii="Times New Roman" w:hAnsi="Times New Roman"/>
              </w:rPr>
            </w:pPr>
          </w:p>
        </w:tc>
        <w:tc>
          <w:tcPr>
            <w:tcW w:w="2861" w:type="dxa"/>
            <w:tcBorders>
              <w:tl2br w:val="nil"/>
              <w:tr2bl w:val="nil"/>
            </w:tcBorders>
          </w:tcPr>
          <w:p w:rsidR="00E27EFB" w14:paraId="074ECAC3" w14:textId="77777777">
            <w:pPr>
              <w:rPr>
                <w:rFonts w:ascii="Times New Roman" w:hAnsi="Times New Roman"/>
              </w:rPr>
            </w:pPr>
          </w:p>
        </w:tc>
        <w:tc>
          <w:tcPr>
            <w:tcW w:w="3428" w:type="dxa"/>
            <w:tcBorders>
              <w:tl2br w:val="nil"/>
              <w:tr2bl w:val="nil"/>
            </w:tcBorders>
          </w:tcPr>
          <w:p w:rsidR="00E27EFB" w14:paraId="74C54193" w14:textId="77777777">
            <w:pPr>
              <w:rPr>
                <w:rFonts w:ascii="Times New Roman" w:hAnsi="Times New Roman"/>
              </w:rPr>
            </w:pPr>
          </w:p>
        </w:tc>
      </w:tr>
      <w:tr w14:paraId="15B443B8" w14:textId="77777777">
        <w:tblPrEx>
          <w:tblW w:w="0" w:type="auto"/>
          <w:tblLook w:val="04A0"/>
        </w:tblPrEx>
        <w:tc>
          <w:tcPr>
            <w:tcW w:w="2233" w:type="dxa"/>
            <w:tcBorders>
              <w:tl2br w:val="nil"/>
              <w:tr2bl w:val="nil"/>
            </w:tcBorders>
          </w:tcPr>
          <w:p w:rsidR="00E27EFB" w14:paraId="783D860E" w14:textId="77777777">
            <w:pPr>
              <w:rPr>
                <w:rFonts w:ascii="Times New Roman" w:hAnsi="Times New Roman"/>
              </w:rPr>
            </w:pPr>
          </w:p>
        </w:tc>
        <w:tc>
          <w:tcPr>
            <w:tcW w:w="2861" w:type="dxa"/>
            <w:tcBorders>
              <w:tl2br w:val="nil"/>
              <w:tr2bl w:val="nil"/>
            </w:tcBorders>
          </w:tcPr>
          <w:p w:rsidR="00E27EFB" w14:paraId="6B4CC8B6" w14:textId="77777777">
            <w:pPr>
              <w:rPr>
                <w:rFonts w:ascii="Times New Roman" w:hAnsi="Times New Roman"/>
              </w:rPr>
            </w:pPr>
          </w:p>
        </w:tc>
        <w:tc>
          <w:tcPr>
            <w:tcW w:w="3428" w:type="dxa"/>
            <w:tcBorders>
              <w:tl2br w:val="nil"/>
              <w:tr2bl w:val="nil"/>
            </w:tcBorders>
          </w:tcPr>
          <w:p w:rsidR="00E27EFB" w14:paraId="7BBCD13E" w14:textId="77777777">
            <w:pPr>
              <w:rPr>
                <w:rFonts w:ascii="Times New Roman" w:hAnsi="Times New Roman"/>
              </w:rPr>
            </w:pPr>
          </w:p>
        </w:tc>
      </w:tr>
      <w:tr w14:paraId="46F48ECB" w14:textId="77777777">
        <w:tblPrEx>
          <w:tblW w:w="0" w:type="auto"/>
          <w:tblLook w:val="04A0"/>
        </w:tblPrEx>
        <w:tc>
          <w:tcPr>
            <w:tcW w:w="2233" w:type="dxa"/>
            <w:tcBorders>
              <w:tl2br w:val="nil"/>
              <w:tr2bl w:val="nil"/>
            </w:tcBorders>
          </w:tcPr>
          <w:p w:rsidR="00E27EFB" w14:paraId="3F9697A0" w14:textId="77777777">
            <w:pPr>
              <w:rPr>
                <w:rFonts w:ascii="Times New Roman" w:hAnsi="Times New Roman"/>
              </w:rPr>
            </w:pPr>
          </w:p>
        </w:tc>
        <w:tc>
          <w:tcPr>
            <w:tcW w:w="2861" w:type="dxa"/>
            <w:tcBorders>
              <w:tl2br w:val="nil"/>
              <w:tr2bl w:val="nil"/>
            </w:tcBorders>
          </w:tcPr>
          <w:p w:rsidR="00E27EFB" w14:paraId="0F43AE4B" w14:textId="77777777">
            <w:pPr>
              <w:rPr>
                <w:rFonts w:ascii="Times New Roman" w:hAnsi="Times New Roman"/>
              </w:rPr>
            </w:pPr>
          </w:p>
        </w:tc>
        <w:tc>
          <w:tcPr>
            <w:tcW w:w="3428" w:type="dxa"/>
            <w:tcBorders>
              <w:tl2br w:val="nil"/>
              <w:tr2bl w:val="nil"/>
            </w:tcBorders>
          </w:tcPr>
          <w:p w:rsidR="00E27EFB" w14:paraId="32822C91" w14:textId="77777777">
            <w:pPr>
              <w:rPr>
                <w:rFonts w:ascii="Times New Roman" w:hAnsi="Times New Roman"/>
              </w:rPr>
            </w:pPr>
          </w:p>
        </w:tc>
      </w:tr>
      <w:tr w14:paraId="0E300CFB" w14:textId="77777777">
        <w:tblPrEx>
          <w:tblW w:w="0" w:type="auto"/>
          <w:tblLook w:val="04A0"/>
        </w:tblPrEx>
        <w:tc>
          <w:tcPr>
            <w:tcW w:w="2233" w:type="dxa"/>
            <w:tcBorders>
              <w:tl2br w:val="nil"/>
              <w:tr2bl w:val="nil"/>
            </w:tcBorders>
          </w:tcPr>
          <w:p w:rsidR="00E27EFB" w14:paraId="2F16CC9A" w14:textId="77777777">
            <w:pPr>
              <w:rPr>
                <w:rFonts w:ascii="Times New Roman" w:hAnsi="Times New Roman"/>
              </w:rPr>
            </w:pPr>
          </w:p>
        </w:tc>
        <w:tc>
          <w:tcPr>
            <w:tcW w:w="2861" w:type="dxa"/>
            <w:tcBorders>
              <w:tl2br w:val="nil"/>
              <w:tr2bl w:val="nil"/>
            </w:tcBorders>
          </w:tcPr>
          <w:p w:rsidR="00E27EFB" w14:paraId="18B3F508" w14:textId="77777777">
            <w:pPr>
              <w:rPr>
                <w:rFonts w:ascii="Times New Roman" w:hAnsi="Times New Roman"/>
              </w:rPr>
            </w:pPr>
          </w:p>
        </w:tc>
        <w:tc>
          <w:tcPr>
            <w:tcW w:w="3428" w:type="dxa"/>
            <w:tcBorders>
              <w:tl2br w:val="nil"/>
              <w:tr2bl w:val="nil"/>
            </w:tcBorders>
          </w:tcPr>
          <w:p w:rsidR="00E27EFB" w14:paraId="4ACBF984" w14:textId="77777777">
            <w:pPr>
              <w:rPr>
                <w:rFonts w:ascii="Times New Roman" w:hAnsi="Times New Roman"/>
              </w:rPr>
            </w:pPr>
          </w:p>
        </w:tc>
      </w:tr>
      <w:tr w14:paraId="71546216" w14:textId="77777777">
        <w:tblPrEx>
          <w:tblW w:w="0" w:type="auto"/>
          <w:tblLook w:val="04A0"/>
        </w:tblPrEx>
        <w:tc>
          <w:tcPr>
            <w:tcW w:w="2233" w:type="dxa"/>
            <w:tcBorders>
              <w:tl2br w:val="nil"/>
              <w:tr2bl w:val="nil"/>
            </w:tcBorders>
          </w:tcPr>
          <w:p w:rsidR="00E27EFB" w14:paraId="646EAC5C" w14:textId="77777777">
            <w:pPr>
              <w:rPr>
                <w:rFonts w:ascii="Times New Roman" w:hAnsi="Times New Roman"/>
              </w:rPr>
            </w:pPr>
          </w:p>
        </w:tc>
        <w:tc>
          <w:tcPr>
            <w:tcW w:w="2861" w:type="dxa"/>
            <w:tcBorders>
              <w:tl2br w:val="nil"/>
              <w:tr2bl w:val="nil"/>
            </w:tcBorders>
          </w:tcPr>
          <w:p w:rsidR="00E27EFB" w14:paraId="04D72196" w14:textId="77777777">
            <w:pPr>
              <w:rPr>
                <w:rFonts w:ascii="Times New Roman" w:hAnsi="Times New Roman"/>
              </w:rPr>
            </w:pPr>
          </w:p>
        </w:tc>
        <w:tc>
          <w:tcPr>
            <w:tcW w:w="3428" w:type="dxa"/>
            <w:tcBorders>
              <w:tl2br w:val="nil"/>
              <w:tr2bl w:val="nil"/>
            </w:tcBorders>
          </w:tcPr>
          <w:p w:rsidR="00E27EFB" w14:paraId="4C303B01" w14:textId="77777777">
            <w:pPr>
              <w:rPr>
                <w:rFonts w:ascii="Times New Roman" w:hAnsi="Times New Roman"/>
              </w:rPr>
            </w:pPr>
          </w:p>
        </w:tc>
      </w:tr>
    </w:tbl>
    <w:p w:rsidR="00E27EFB" w14:paraId="4D43E632" w14:textId="77777777"/>
    <w:sectPr>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25FE" w14:paraId="6840A0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EFB" w14:paraId="165B1D30" w14:textId="77777777">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7EFB" w14:textId="77777777">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49" type="#_x0000_t202" style="width:2in;height:2in;margin-top:0;margin-left:0;mso-position-horizontal:right;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p w:rsidR="00E27EFB" w14:paraId="50CA9670" w14:textId="77777777">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25FE" w14:paraId="693B3EF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25FE" w14:paraId="18D304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038C" w:rsidRPr="007B038C" w:rsidP="001725FE" w14:paraId="4A36CE11" w14:textId="62D3B66A">
    <w:pPr>
      <w:pStyle w:val="Header"/>
      <w:jc w:val="right"/>
    </w:pPr>
    <w:r w:rsidRPr="007B038C">
      <w:rPr>
        <w:b/>
        <w:bCs/>
      </w:rPr>
      <w:t>Pielikums Nr.</w:t>
    </w:r>
    <w:r w:rsidR="001725FE">
      <w:rPr>
        <w:b/>
        <w:bCs/>
      </w:rPr>
      <w:t>9</w:t>
    </w:r>
    <w:bookmarkStart w:id="1" w:name="_GoBack"/>
    <w:bookmarkEnd w:id="1"/>
    <w:r w:rsidRPr="007B038C">
      <w:rPr>
        <w:b/>
        <w:bCs/>
      </w:rPr>
      <w:t xml:space="preserve"> Veselības ministrijas </w:t>
    </w:r>
    <w:r w:rsidRPr="007B038C">
      <w:rPr>
        <w:b/>
        <w:bCs/>
        <w:noProof/>
      </w:rPr>
      <w:t>Datums skatāms laika zīmogā</w:t>
    </w:r>
    <w:r w:rsidRPr="007B038C">
      <w:rPr>
        <w:b/>
        <w:bCs/>
      </w:rPr>
      <w:t xml:space="preserve"> rīkojumam Nr. </w:t>
    </w:r>
    <w:r w:rsidRPr="007B038C">
      <w:rPr>
        <w:b/>
        <w:bCs/>
        <w:noProof/>
      </w:rPr>
      <w:t>200</w:t>
    </w:r>
  </w:p>
  <w:p w:rsidR="007B038C" w14:paraId="2A56703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25FE" w14:paraId="6B5690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30422130"/>
    <w:multiLevelType w:val="multilevel"/>
    <w:tmpl w:val="30422130"/>
    <w:lvl w:ilvl="0">
      <w:start w:val="1"/>
      <w:numFmt w:val="decimal"/>
      <w:lvlText w:val="%1."/>
      <w:lvlJc w:val="left"/>
      <w:pPr>
        <w:ind w:left="502" w:hanging="360"/>
      </w:pPr>
      <w:rPr>
        <w:rFonts w:eastAsiaTheme="minorHAnsi"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1">
    <w:nsid w:val="3D7C7888"/>
    <w:multiLevelType w:val="multilevel"/>
    <w:tmpl w:val="3D7C788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1">
    <w:nsid w:val="474DA58D"/>
    <w:multiLevelType w:val="singleLevel"/>
    <w:tmpl w:val="474DA58D"/>
    <w:lvl w:ilvl="0">
      <w:start w:val="1"/>
      <w:numFmt w:val="bullet"/>
      <w:pStyle w:val="ListBullet"/>
      <w:lvlText w:val=""/>
      <w:lvlJc w:val="left"/>
      <w:pPr>
        <w:tabs>
          <w:tab w:val="left" w:pos="360"/>
        </w:tabs>
        <w:ind w:left="360" w:hanging="360" w:hangingChars="20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D7B18"/>
    <w:rsid w:val="00077453"/>
    <w:rsid w:val="001725FE"/>
    <w:rsid w:val="002809A1"/>
    <w:rsid w:val="007B038C"/>
    <w:rsid w:val="00A161A7"/>
    <w:rsid w:val="00AD7B18"/>
    <w:rsid w:val="00E27EFB"/>
    <w:rsid w:val="00E964B9"/>
    <w:rsid w:val="20C306D6"/>
    <w:rsid w:val="334368B8"/>
    <w:rsid w:val="3C4F5C94"/>
    <w:rsid w:val="4B5078CB"/>
    <w:rsid w:val="645F54B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0807CB1-B8C1-415A-96E5-A296C5C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semiHidden="1" w:uiPriority="99" w:unhideWhenUsed="1" w:qFormat="1"/>
    <w:lsdException w:name="List Bullet"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pBdr>
      <w:spacing w:after="160" w:line="252" w:lineRule="auto"/>
      <w:textAlignment w:val="baseline"/>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ListBullet">
    <w:name w:val="List Bullet"/>
    <w:basedOn w:val="Normal"/>
    <w:qFormat/>
    <w:pPr>
      <w:numPr>
        <w:numId w:val="1"/>
      </w:numPr>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lang w:eastAsia="lv-LV"/>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Parasts"/>
    <w:qFormat/>
    <w:pPr>
      <w:spacing w:after="0" w:line="240" w:lineRule="auto"/>
      <w:ind w:left="720"/>
    </w:pPr>
    <w:rPr>
      <w:rFonts w:ascii="Times New Roman" w:eastAsia="Times New Roman" w:hAnsi="Times New Roman"/>
      <w:sz w:val="24"/>
      <w:szCs w:val="24"/>
      <w:lang w:val="lv-LV" w:eastAsia="lv-LV"/>
    </w:rPr>
  </w:style>
  <w:style w:type="paragraph" w:customStyle="1" w:styleId="Parasts">
    <w:name w:val="Parasts"/>
    <w:qFormat/>
    <w:pPr>
      <w:pBdr>
        <w:top w:val="nil"/>
        <w:left w:val="nil"/>
        <w:bottom w:val="nil"/>
        <w:right w:val="nil"/>
      </w:pBdr>
      <w:suppressAutoHyphens/>
      <w:spacing w:after="160" w:line="252" w:lineRule="auto"/>
      <w:textAlignment w:val="baseline"/>
    </w:pPr>
    <w:rPr>
      <w:rFonts w:ascii="Calibri" w:eastAsia="Calibri" w:hAnsi="Calibri" w:cs="Times New Roman"/>
      <w:sz w:val="22"/>
      <w:szCs w:val="22"/>
      <w:lang w:val="ru-RU" w:eastAsia="en-US"/>
    </w:rPr>
  </w:style>
  <w:style w:type="character" w:customStyle="1" w:styleId="Noklusjumarindkopasfonts">
    <w:name w:val="Noklusējuma rindkopas fonts"/>
    <w:qFormat/>
  </w:style>
  <w:style w:type="paragraph" w:styleId="ListParagraph">
    <w:name w:val="List Paragraph"/>
    <w:basedOn w:val="Normal"/>
    <w:uiPriority w:val="34"/>
    <w:qFormat/>
    <w:pPr>
      <w:ind w:left="720"/>
      <w:contextualSpacing/>
    </w:pPr>
  </w:style>
  <w:style w:type="table" w:customStyle="1" w:styleId="ListTable4-Accent31">
    <w:name w:val="List Table 4 - Accent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ps">
    <w:name w:val="hps"/>
    <w:basedOn w:val="DefaultParagraphFont"/>
    <w:qFormat/>
  </w:style>
  <w:style w:type="paragraph" w:styleId="NoSpacing">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sdmanuals.com/home/digestive-disorders/pancreatitis/acute-pancreatitis"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www.uptodate.com" TargetMode="External" /><Relationship Id="rId8" Type="http://schemas.openxmlformats.org/officeDocument/2006/relationships/hyperlink" Target="http://www.vm.gov.lv/lv/tava_veseliba/veseligs_uzturs/," TargetMode="External" /><Relationship Id="rId9" Type="http://schemas.openxmlformats.org/officeDocument/2006/relationships/hyperlink" Target="https://www.parksmed.co.uk/wp-content/uploads/2013/10/Pancreatitis-Acute_-Diet-Advice_MKH-Leaflet.pd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4250</Words>
  <Characters>2424</Characters>
  <Application>Microsoft Office Word</Application>
  <DocSecurity>0</DocSecurity>
  <Lines>20</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dc:creator>
  <cp:lastModifiedBy>Ieva Apine</cp:lastModifiedBy>
  <cp:revision>6</cp:revision>
  <dcterms:created xsi:type="dcterms:W3CDTF">2020-11-10T07:04:00Z</dcterms:created>
  <dcterms:modified xsi:type="dcterms:W3CDTF">2020-11-13T13:04:00Z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