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5A749C"/>
    <w:tbl>
      <w:tblPr>
        <w:tblStyle w:val="TableGrid"/>
        <w:tblpPr w:leftFromText="180" w:rightFromText="180" w:vertAnchor="page" w:horzAnchor="page" w:tblpX="1831" w:tblpY="2336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1832"/>
        <w:gridCol w:w="293"/>
        <w:gridCol w:w="501"/>
        <w:gridCol w:w="1338"/>
        <w:gridCol w:w="398"/>
        <w:gridCol w:w="875"/>
        <w:gridCol w:w="3285"/>
      </w:tblGrid>
      <w:tr>
        <w:tblPrEx>
          <w:tblW w:w="0" w:type="auto"/>
          <w:tbl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  <w:insideH w:val="single" w:sz="4" w:space="0" w:color="FFFFFF" w:themeColor="background1"/>
            <w:insideV w:val="single" w:sz="4" w:space="0" w:color="FFFFFF" w:themeColor="background1"/>
          </w:tblBorders>
          <w:tblLook w:val="04A0"/>
        </w:tblPrEx>
        <w:tc>
          <w:tcPr>
            <w:tcW w:w="8522" w:type="dxa"/>
            <w:gridSpan w:val="7"/>
            <w:tcBorders>
              <w:tl2br w:val="nil"/>
              <w:tr2bl w:val="nil"/>
            </w:tcBorders>
          </w:tcPr>
          <w:p w:rsidR="005A749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</w:pPr>
          </w:p>
          <w:p w:rsidR="0036447E" w:rsidRPr="005A749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-609600</wp:posOffset>
                  </wp:positionH>
                  <wp:positionV relativeFrom="paragraph">
                    <wp:posOffset>-1041400</wp:posOffset>
                  </wp:positionV>
                  <wp:extent cx="6588125" cy="1238250"/>
                  <wp:effectExtent l="0" t="0" r="3175" b="0"/>
                  <wp:wrapNone/>
                  <wp:docPr id="1" name="Picture 1" descr="C:\Users\Šlšrutš MT\Downloads\VM_ESF_LV_koriget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39378" name="Picture 1" descr="C:\Users\Šlšrutš MT\Downloads\VM_ESF_LV_koriget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81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7105E">
              <w:rPr>
                <w:rFonts w:ascii="Times New Roman" w:hAnsi="Times New Roman"/>
                <w:color w:val="000000"/>
                <w:sz w:val="21"/>
                <w:szCs w:val="21"/>
                <w:lang w:eastAsia="lv-LV"/>
              </w:rPr>
              <w:t>Ieteikumi izstrādāti ESF projekta „Kompleksi veselības veicināšanas un slimību profilakses pasākumi” ietvaros (identifikācijas Nr.9.2.4.1./16/I/001)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l2br w:val="nil"/>
              <w:tr2bl w:val="nil"/>
            </w:tcBorders>
          </w:tcPr>
          <w:p w:rsidR="00364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Uztura ieteikumi pēc aizkuņģa dziedzera operācijas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bottom w:val="nil"/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Aizkuņģa dziedzeris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ražo fermentus, kas šķeļ olbaltumvielas, taukus, ogļhidrātus, un izdala tos divpadsmit pirkstu zarnā. Tas ražo arī hormonu - insulīnu, kas regulē cukura līmeni asinīs. Pēc aizkuņģa dziedzera operācijas trūkst šo gremošanas fermentu, un minētās funkcijas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 kavētas, tāpēc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nepieciešamie gremošanas fermenti jāuzņem ar medikamentiem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(medikamenti palīdz mazināt arī vēdera uzpūšanos un/vai caureju). Ja ir traucēta insulīna veidošanās, tad pēc operācijas var izveidoties cukura diabēts.</w:t>
            </w:r>
          </w:p>
          <w:p w:rsidR="003644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3496945" cy="3657600"/>
                  <wp:effectExtent l="0" t="0" r="8255" b="0"/>
                  <wp:docPr id="4" name="Picture 4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210299" name="Picture 4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0634" cy="367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447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Hlk53065766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Vizualizācijai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izmantots attēls no: </w:t>
            </w: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www.uptodate.com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bookmarkEnd w:id="0"/>
          <w:p w:rsidR="0036447E">
            <w:pPr>
              <w:spacing w:after="0"/>
              <w:ind w:firstLine="7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Uztura ieteikumi:</w:t>
            </w:r>
          </w:p>
          <w:p w:rsidR="003644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Ēdiet mazas porcijas, 4 – 6 reizes dienā, neaizmirstot vēlās vakariņas (1-2 stundas pirms naktsmiera “viegls uzturs”, piemēram,  </w:t>
            </w:r>
            <w:r>
              <w:rPr>
                <w:rFonts w:ascii="Times New Roman" w:hAnsi="Times New Roman"/>
                <w:sz w:val="24"/>
                <w:szCs w:val="24"/>
              </w:rPr>
              <w:t>biezpiens vai grieķu jogurts).</w:t>
            </w:r>
          </w:p>
          <w:p w:rsidR="0036447E">
            <w:pPr>
              <w:pStyle w:val="ListParagraph"/>
              <w:numPr>
                <w:ilvl w:val="0"/>
                <w:numId w:val="2"/>
              </w:numPr>
              <w:spacing w:after="0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Ēdiet lēni, rūpīgi sakošļājot pārtiku,</w:t>
            </w:r>
          </w:p>
          <w:p w:rsidR="0036447E">
            <w:pPr>
              <w:pStyle w:val="NormalWeb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Ēdienam nevajadzētu būt ne pārāk aukstam, ne pārāk karstam.</w:t>
            </w:r>
          </w:p>
          <w:p w:rsidR="0036447E" w:rsidRPr="005A749C" w:rsidP="005A749C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Uzturā jābūt pietiekami daudz </w:t>
            </w:r>
            <w:r>
              <w:rPr>
                <w:b/>
                <w:bCs/>
                <w:sz w:val="24"/>
                <w:szCs w:val="24"/>
              </w:rPr>
              <w:t>olbaltumvielām un kalorijām</w:t>
            </w:r>
            <w:r>
              <w:rPr>
                <w:sz w:val="24"/>
                <w:szCs w:val="24"/>
              </w:rPr>
              <w:t xml:space="preserve">, lai saglabātu svaru un veicinātu atveseļošanās procesus.     </w:t>
            </w:r>
            <w:r w:rsidRPr="005A749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36447E">
            <w:pPr>
              <w:pStyle w:val="NormalWeb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Vienmēr maltīti sāciet ar olbaltumvielu produ</w:t>
            </w:r>
            <w:r>
              <w:rPr>
                <w:sz w:val="24"/>
                <w:szCs w:val="24"/>
              </w:rPr>
              <w:t xml:space="preserve">ktiem (gaļa, zivis, olas, biezpiens, siers), lai mazinātu muskuļu masas zudumu.                                                                                          </w:t>
            </w:r>
          </w:p>
          <w:p w:rsidR="0036447E">
            <w:pPr>
              <w:pStyle w:val="NormalWeb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Dzeriet olbaltumvielām un kilokalorijām bagātus dzērienus (</w:t>
            </w:r>
            <w:r>
              <w:rPr>
                <w:sz w:val="24"/>
                <w:szCs w:val="24"/>
              </w:rPr>
              <w:t>smūtijus</w:t>
            </w:r>
            <w:r>
              <w:rPr>
                <w:sz w:val="24"/>
                <w:szCs w:val="24"/>
              </w:rPr>
              <w:t xml:space="preserve"> vai speciālo medic</w:t>
            </w:r>
            <w:r>
              <w:rPr>
                <w:sz w:val="24"/>
                <w:szCs w:val="24"/>
              </w:rPr>
              <w:t xml:space="preserve">īnisko  </w:t>
            </w:r>
            <w:r>
              <w:rPr>
                <w:sz w:val="24"/>
                <w:szCs w:val="24"/>
              </w:rPr>
              <w:t>papilduzturu</w:t>
            </w:r>
            <w:r>
              <w:rPr>
                <w:sz w:val="24"/>
                <w:szCs w:val="24"/>
              </w:rPr>
              <w:t>, ko Jums rekomendēs ārsts).</w:t>
            </w:r>
          </w:p>
          <w:p w:rsidR="0036447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Uzturā samaziniet (bet neizslēdziet pilnībā)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tauku daudzumu</w:t>
            </w:r>
            <w:r>
              <w:rPr>
                <w:rFonts w:ascii="Times New Roman" w:hAnsi="Times New Roman"/>
                <w:sz w:val="24"/>
                <w:szCs w:val="24"/>
              </w:rPr>
              <w:t>, jo ar izmainītu aizkuņģa dziedzera darbību būs grūtības tos sagremot.</w:t>
            </w:r>
          </w:p>
          <w:p w:rsidR="0036447E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Uzturā ir jāierobežo tauku daudzums, tomēr pārāk lieli ierobežojumi kavēs sv</w:t>
            </w:r>
            <w:r>
              <w:rPr>
                <w:rFonts w:ascii="Times New Roman" w:hAnsi="Times New Roman"/>
                <w:sz w:val="24"/>
                <w:szCs w:val="24"/>
              </w:rPr>
              <w:t>ara atgūšanu, tāpēc ir svarīgi lietot ārsta nozīmētos gremošanas fermentu preparātus katrā ēdienreizē.</w:t>
            </w:r>
          </w:p>
          <w:p w:rsidR="003644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Nelietojiet ļoti treknus, ceptus, žāvētus, sālītus produktus un svaigas mīklas izstrādājumus.</w:t>
            </w:r>
          </w:p>
          <w:p w:rsidR="0036447E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Uzņemiet pietiekami daudz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šķidruma</w:t>
            </w:r>
            <w:r>
              <w:rPr>
                <w:rFonts w:ascii="Times New Roman" w:hAnsi="Times New Roman"/>
                <w:sz w:val="24"/>
                <w:szCs w:val="24"/>
              </w:rPr>
              <w:t>, lai izvairītos no organ</w:t>
            </w:r>
            <w:r>
              <w:rPr>
                <w:rFonts w:ascii="Times New Roman" w:hAnsi="Times New Roman"/>
                <w:sz w:val="24"/>
                <w:szCs w:val="24"/>
              </w:rPr>
              <w:t>isma atūdeņošanās. Nelietojiet pārāk daudz šķidruma kopā ar ēdienu, jo tad Jūs varēsiet apēst mazāku ēdiena daudzumu. Dzeriet maziem malciņiem starp ēdienreizēm, bet bieži.</w:t>
            </w:r>
          </w:p>
          <w:p w:rsidR="0036447E">
            <w:pPr>
              <w:pStyle w:val="ListParagraph"/>
              <w:numPr>
                <w:ilvl w:val="0"/>
                <w:numId w:val="2"/>
              </w:numPr>
              <w:spacing w:after="0"/>
              <w:ind w:left="7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Nelietojiet alkoholu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47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Jaunu produktu lietošanu</w:t>
            </w:r>
            <w:r>
              <w:t xml:space="preserve"> uzsāciet ļoti pakāpeniski (katrā ēdi</w:t>
            </w:r>
            <w:r>
              <w:t>enreizē pa vienam jaunam produktam) un sekojiet ēdienu panesamībai. Ja pašsajūta pasliktinās pēc konkrēta produkta lietošanas, tad kādu laiku to nelietojiet (1-2 mēnešus), pēc tam  piesardzīgi atkal mēģiniet to lietot.</w:t>
            </w:r>
          </w:p>
          <w:p w:rsidR="0036447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r>
              <w:t xml:space="preserve">Sākumā ierobežojiet augļu un dārzeņu </w:t>
            </w:r>
            <w:r>
              <w:t>lietošanu, bet vēlāk to pakāpeniski palieliniet.</w:t>
            </w:r>
          </w:p>
          <w:p w:rsidR="0036447E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</w:pPr>
            <w:r>
              <w:t xml:space="preserve">Ja pieaug </w:t>
            </w:r>
            <w:r>
              <w:rPr>
                <w:b/>
                <w:bCs/>
              </w:rPr>
              <w:t>cukura līmenis asinīs</w:t>
            </w:r>
            <w:r>
              <w:t xml:space="preserve">, Jums ir izveidojies cukura diabēts vai ir Dempinga sindroms (uzreiz pēc ēšanas vai 2 stundas pēc ēšanas parādās vājums, galvas reiboņi, ādas apsārtums, sāpes vēderā, </w:t>
            </w:r>
            <w:r>
              <w:t>vemšana vai caureja), tādā gadījumā ir jāizvairās no produktiem, kas ātri ceļ cukura līmeni asinīs (</w:t>
            </w:r>
            <w:r>
              <w:rPr>
                <w:i/>
                <w:iCs/>
              </w:rPr>
              <w:t>tabulā</w:t>
            </w:r>
            <w:r>
              <w:t xml:space="preserve"> </w:t>
            </w:r>
            <w:r>
              <w:rPr>
                <w:i/>
                <w:iCs/>
              </w:rPr>
              <w:t xml:space="preserve">atzīmēti ar *). 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>
              <w:t>Parasti ir jālieto arī medikamenti, lai kontrolētu cukura līmeni asinīs.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7" w:type="dxa"/>
            <w:gridSpan w:val="3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Produktu veids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Ieteicamie produkti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Produkti,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kurus nav ieteicams lietot, jo tie bieži veicina sliktas pašsajūtas un citu simptomu veidošanos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Graudaugi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Rudzu maize, </w:t>
            </w:r>
            <w:r>
              <w:rPr>
                <w:rFonts w:ascii="Times New Roman" w:hAnsi="Times New Roman"/>
                <w:sz w:val="24"/>
                <w:szCs w:val="24"/>
              </w:rPr>
              <w:t>pilngraudu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makaroni, brūnie rīsi, auzu pārslas, prosa, griķi, mieži, </w:t>
            </w:r>
            <w:r>
              <w:rPr>
                <w:rFonts w:ascii="Times New Roman" w:hAnsi="Times New Roman"/>
                <w:sz w:val="24"/>
                <w:szCs w:val="24"/>
              </w:rPr>
              <w:t>kvinoja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*Baltmaize, </w:t>
            </w:r>
            <w:r>
              <w:rPr>
                <w:rFonts w:ascii="Times New Roman" w:hAnsi="Times New Roman"/>
                <w:sz w:val="24"/>
                <w:szCs w:val="24"/>
              </w:rPr>
              <w:t>Cornflakes</w:t>
            </w:r>
            <w:r>
              <w:rPr>
                <w:rFonts w:ascii="Times New Roman" w:hAnsi="Times New Roman"/>
                <w:sz w:val="24"/>
                <w:szCs w:val="24"/>
              </w:rPr>
              <w:t>, cukurotas graudu pārslas, manna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rtupeļi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Vārīti kartupeļi 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Cepti kartupeļi, </w:t>
            </w:r>
            <w:r>
              <w:rPr>
                <w:rFonts w:ascii="Times New Roman" w:hAnsi="Times New Roman"/>
                <w:sz w:val="24"/>
                <w:szCs w:val="24"/>
              </w:rPr>
              <w:t>frī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kartupeļi, *kartupeļu biezputra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Dārzeņi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 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Augļi, ogas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 mērenā daudzumā. </w:t>
            </w:r>
          </w:p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Ieteicamais daudzums vienai porcijai ir vienas Jūsu plaukstas </w:t>
            </w:r>
            <w:r>
              <w:rPr>
                <w:rFonts w:ascii="Times New Roman" w:hAnsi="Times New Roman"/>
                <w:sz w:val="24"/>
                <w:szCs w:val="24"/>
              </w:rPr>
              <w:t>izmērā!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Liels daudzums augļu, kas satur daudz </w:t>
            </w:r>
            <w:r>
              <w:rPr>
                <w:rFonts w:ascii="Times New Roman" w:hAnsi="Times New Roman"/>
                <w:sz w:val="24"/>
                <w:szCs w:val="24"/>
              </w:rPr>
              <w:t>vienkāršo ogļhidrātu (cukura) -  vīnogas, gatavus banānus, bumbierus, plūmes, arbūzus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Gaļa, zivis, olas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before="0" w:beforeAutospacing="0" w:after="0" w:afterAutospacing="0" w:line="276" w:lineRule="auto"/>
            </w:pPr>
            <w:r>
              <w:t xml:space="preserve">Liesa liellopu, teļa, putnu gaļa bez ādas (fileja, </w:t>
            </w:r>
            <w:r>
              <w:t>steiks</w:t>
            </w:r>
            <w:r>
              <w:t xml:space="preserve">), meža dzīvnieku gaļa - gatavota mazā eļļas daudzumā. 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  <w:r>
              <w:t>Ieteicamākie produktu pagatavošanas v</w:t>
            </w:r>
            <w:r>
              <w:t>eidi ir vārīšana un sautēšana.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  <w:r>
              <w:t xml:space="preserve">Baltās zivis (piem., menca, </w:t>
            </w:r>
            <w:r>
              <w:t>pikša</w:t>
            </w:r>
            <w:r>
              <w:t>) liesas saldūdens zivis (piemēram, asaris, karpa) pagatavotas mazā tauku daudzumā, konservētas zivis savā sulā.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</w:p>
          <w:p w:rsidR="003644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Vārītas olas, olu kultenis.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Trekna, cepta, kūpināta, pikanta,  gaļa, </w:t>
            </w:r>
            <w:r>
              <w:rPr>
                <w:rFonts w:ascii="Times New Roman" w:hAnsi="Times New Roman"/>
                <w:sz w:val="24"/>
                <w:szCs w:val="24"/>
              </w:rPr>
              <w:t>speķis, pīles, zoss gaļa, putnu gaļas āda, desas, gaļas konservi, subprodukti (aknas, aknu pastēte, nieres).</w:t>
            </w:r>
          </w:p>
          <w:p w:rsidR="00364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Ceptas olas, olas dzeltenums, trekni saldie vai pikanti olu ēdieni, majonēze.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</w:p>
          <w:p w:rsidR="0036447E">
            <w:pPr>
              <w:pStyle w:val="NormalWeb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Jāierobežo, bet nav jāizslēdz, jāskatās individuālā panesamība: 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  <w:r>
              <w:t>treknas zivis (zuši, lasis, siļķe), kūpinātas, marinētas, konservētas zivis vai to izstrādājumi.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</w:pPr>
          </w:p>
          <w:p w:rsidR="003644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Piena produkti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contextualSpacing/>
            </w:pPr>
            <w:r>
              <w:t>Piena produkti ar zemu tauku saturu:</w:t>
            </w:r>
          </w:p>
          <w:p w:rsidR="0036447E">
            <w:pPr>
              <w:pStyle w:val="NormalWeb"/>
              <w:contextualSpacing/>
            </w:pPr>
            <w:r>
              <w:t xml:space="preserve">piens (0,5 -1,5%), </w:t>
            </w:r>
          </w:p>
          <w:p w:rsidR="0036447E">
            <w:pPr>
              <w:pStyle w:val="NormalWeb"/>
              <w:contextualSpacing/>
            </w:pPr>
            <w:r>
              <w:t>vājpiena kefīrs, jogurts, paniņas (0,5 -1,5%),</w:t>
            </w:r>
          </w:p>
          <w:p w:rsidR="0036447E">
            <w:pPr>
              <w:pStyle w:val="NormalWeb"/>
              <w:contextualSpacing/>
            </w:pPr>
            <w:r>
              <w:t>biezpiens (0,5%),</w:t>
            </w:r>
          </w:p>
          <w:p w:rsidR="003644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siers (8 -15 % </w:t>
            </w:r>
            <w:r>
              <w:rPr>
                <w:rFonts w:ascii="Times New Roman" w:hAnsi="Times New Roman"/>
                <w:sz w:val="24"/>
                <w:szCs w:val="24"/>
              </w:rPr>
              <w:t>tauku sausnā).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Jāierobežo, bet nav jāizslēdz, jāskatās individuālā panesamība: </w:t>
            </w:r>
          </w:p>
          <w:p w:rsidR="0036447E">
            <w:pPr>
              <w:pStyle w:val="NormalWeb"/>
              <w:contextualSpacing/>
            </w:pPr>
            <w:r>
              <w:t xml:space="preserve">pilnpiens, pilnpiena kefīrs, pilnpiena biezpiens, skābais krējums (&gt;20% tauku), </w:t>
            </w:r>
            <w:r>
              <w:t>siieri</w:t>
            </w:r>
            <w:r>
              <w:t xml:space="preserve"> (tauku saturs &gt;20%),</w:t>
            </w:r>
          </w:p>
          <w:p w:rsidR="0036447E">
            <w:pPr>
              <w:pStyle w:val="NormalWeb"/>
              <w:contextualSpacing/>
            </w:pPr>
            <w:r>
              <w:t>sieri ar pelējumu,</w:t>
            </w:r>
          </w:p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glazētie biezpiena sieriņi, saldējums.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Pākšaugi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Zirņi, pupas, lēcas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Tauki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</w:pPr>
            <w:r>
              <w:t>Augu eļļas – nelielā daudzumā Svaigais smērējamais siers   (tauku saturs 7-20%).</w:t>
            </w:r>
          </w:p>
          <w:p w:rsidR="0036447E">
            <w:pPr>
              <w:pStyle w:val="NormalWeb"/>
              <w:spacing w:line="276" w:lineRule="auto"/>
              <w:rPr>
                <w:color w:val="000000" w:themeColor="text1"/>
                <w:sz w:val="24"/>
                <w:szCs w:val="24"/>
              </w:rPr>
            </w:pPr>
            <w:r>
              <w:t>Sākumā 1-2 tējkarotes dienā, vēlāk pakāpeniski palielinot devu.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contextualSpacing/>
              <w:rPr>
                <w:i/>
                <w:iCs/>
              </w:rPr>
            </w:pPr>
            <w:r>
              <w:rPr>
                <w:i/>
                <w:iCs/>
              </w:rPr>
              <w:t xml:space="preserve">Jāierobežo, bet nav jāizslēdz, jāskatās individuālā panesamība: </w:t>
            </w:r>
          </w:p>
          <w:p w:rsidR="0036447E">
            <w:pPr>
              <w:pStyle w:val="NormalWeb"/>
              <w:contextualSpacing/>
            </w:pPr>
            <w:r>
              <w:t>sviests, krējums, saldais krējums,</w:t>
            </w:r>
          </w:p>
          <w:p w:rsidR="0036447E">
            <w:pPr>
              <w:pStyle w:val="NormalWeb"/>
              <w:contextualSpacing/>
              <w:rPr>
                <w:color w:val="000000" w:themeColor="text1"/>
                <w:sz w:val="24"/>
                <w:szCs w:val="24"/>
              </w:rPr>
            </w:pPr>
            <w:r>
              <w:t>margarīns, majonēze.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Rieksti, sēklas, žāvēti augļi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 rieksti un sēklas - mērenā daudzumā (maza saujiņa).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*Rozīnes, plūmes, aprikozes, dateles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Dzērieni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Ūdens, nesaldinātas </w:t>
            </w:r>
            <w:r>
              <w:rPr>
                <w:rFonts w:ascii="Times New Roman" w:hAnsi="Times New Roman"/>
                <w:sz w:val="24"/>
                <w:szCs w:val="24"/>
              </w:rPr>
              <w:t>tējas, kafija.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*Augļu sulas, nektāri, bērzu sulas, </w:t>
            </w:r>
            <w:r>
              <w:rPr>
                <w:rFonts w:ascii="Times New Roman" w:hAnsi="Times New Roman"/>
                <w:sz w:val="24"/>
                <w:szCs w:val="24"/>
              </w:rPr>
              <w:t>saldināti dzērieni (</w:t>
            </w:r>
            <w:r>
              <w:rPr>
                <w:rFonts w:ascii="Times New Roman" w:hAnsi="Times New Roman"/>
                <w:sz w:val="24"/>
                <w:szCs w:val="24"/>
              </w:rPr>
              <w:t>Coca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Cola</w:t>
            </w:r>
            <w:r>
              <w:rPr>
                <w:rFonts w:ascii="Times New Roman" w:hAnsi="Times New Roman"/>
                <w:sz w:val="24"/>
                <w:szCs w:val="24"/>
              </w:rPr>
              <w:t>, kvass )</w:t>
            </w:r>
          </w:p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Alkohols.</w:t>
            </w:r>
          </w:p>
        </w:tc>
      </w:tr>
      <w:tr>
        <w:tblPrEx>
          <w:tblW w:w="0" w:type="auto"/>
          <w:tblLook w:val="04A0"/>
        </w:tblPrEx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Saldumi un citas uzkodas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Sorbets</w:t>
            </w:r>
            <w:r>
              <w:rPr>
                <w:rFonts w:ascii="Times New Roman" w:hAnsi="Times New Roman"/>
                <w:sz w:val="24"/>
                <w:szCs w:val="24"/>
              </w:rPr>
              <w:t>, cepumi ar zemu tauku saturu, zefīrs</w:t>
            </w:r>
          </w:p>
        </w:tc>
        <w:tc>
          <w:tcPr>
            <w:tcW w:w="4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*Šokolāde, konfektes, halva, kūkas, vafeles, </w:t>
            </w:r>
          </w:p>
          <w:p w:rsidR="0036447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medus, cukurs, </w:t>
            </w:r>
            <w:r>
              <w:rPr>
                <w:rFonts w:ascii="Times New Roman" w:hAnsi="Times New Roman"/>
                <w:sz w:val="24"/>
                <w:szCs w:val="24"/>
              </w:rPr>
              <w:t>krekeri</w:t>
            </w:r>
            <w:r>
              <w:rPr>
                <w:rFonts w:ascii="Times New Roman" w:hAnsi="Times New Roman"/>
                <w:sz w:val="24"/>
                <w:szCs w:val="24"/>
              </w:rPr>
              <w:t>, pankūkas, cepumi, konditorejas izstrādājumi</w:t>
            </w:r>
          </w:p>
          <w:p w:rsidR="0036447E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kartupeļu čipsi, pica.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3644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Jums ir ievērojams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svara zudums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(5-10% no ķermeņa masas), tad īpaši jāievērš uzmanība, lai uzturs būtu  kalorijām 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olbaltumvielām bagāts un maltītes būtu biežas.  </w:t>
            </w:r>
          </w:p>
          <w:p w:rsidR="0036447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Jums ir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caureja</w:t>
            </w:r>
            <w:r>
              <w:rPr>
                <w:rFonts w:ascii="Times New Roman" w:hAnsi="Times New Roman"/>
                <w:sz w:val="24"/>
                <w:szCs w:val="24"/>
              </w:rPr>
              <w:t>, tad samaziniet uzturā šķiedrvielu un tauku daudzumu, ieturiet 5-6 maltītes, lietojot  produktus ar zemu šķiedrvielu daudzumu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Produktu grupas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Ieteicamie produkti</w:t>
            </w:r>
          </w:p>
          <w:p w:rsidR="0036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(ar zemu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šķiedrvielu daudzumu un citi ieteicamie produkti)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Produkti, no kuriem izvairīties  vai lietot ierobežotos daudzumos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Graudaugi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Vārīti graudaugu produkti (manna, kukurūza, baltie rīsi, auzu pārslas, makaroni).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Baltmaize, cepumi (bez piedevām </w:t>
            </w:r>
            <w:r>
              <w:rPr>
                <w:sz w:val="24"/>
                <w:szCs w:val="24"/>
                <w:lang w:eastAsia="en-US"/>
              </w:rPr>
              <w:t>(riekstiem, rozīnēm, sēkliņām, krēmiem), kviešu miltu saldskābmaize.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Pankūkas un vafeles.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Maize, kas satur sēklas, žāvētus augļus, </w:t>
            </w: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maize, kviešu klijas.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Brūnie rīsi.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produkti – </w:t>
            </w: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pārslu putras (mieži, griķi), </w:t>
            </w:r>
            <w:r>
              <w:rPr>
                <w:sz w:val="24"/>
                <w:szCs w:val="24"/>
                <w:lang w:eastAsia="en-US"/>
              </w:rPr>
              <w:t>musli</w:t>
            </w:r>
            <w:r>
              <w:rPr>
                <w:sz w:val="24"/>
                <w:szCs w:val="24"/>
                <w:lang w:eastAsia="en-US"/>
              </w:rPr>
              <w:t>, popkorns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pilngraudu</w:t>
            </w:r>
            <w:r>
              <w:rPr>
                <w:sz w:val="24"/>
                <w:szCs w:val="24"/>
                <w:lang w:eastAsia="en-US"/>
              </w:rPr>
              <w:t xml:space="preserve"> makaroni.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Klijas.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eastAsia="en-US"/>
              </w:rPr>
              <w:t>Kartupeļi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Vārīti kartupeļi, kartupeļu biezputra, saldie kartupeļi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Frī</w:t>
            </w:r>
            <w:r>
              <w:rPr>
                <w:sz w:val="24"/>
                <w:szCs w:val="24"/>
                <w:lang w:eastAsia="en-US"/>
              </w:rPr>
              <w:t xml:space="preserve"> kartupeļi, cepti kartupeļi, kroketes,  ar mizu vārīti kartupeļi, kartupeļu pankūkas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Dārzeņi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Termiski apstrādāti, mizoti dārzeņi: burkāni, tomāti, </w:t>
            </w:r>
            <w:r>
              <w:rPr>
                <w:rFonts w:ascii="Times New Roman" w:hAnsi="Times New Roman"/>
              </w:rPr>
              <w:t xml:space="preserve">spināti, baklažāns, kabači, </w:t>
            </w:r>
            <w:r>
              <w:rPr>
                <w:rFonts w:ascii="Times New Roman" w:hAnsi="Times New Roman"/>
              </w:rPr>
              <w:t>cukīni</w:t>
            </w:r>
            <w:r>
              <w:rPr>
                <w:rFonts w:ascii="Times New Roman" w:hAnsi="Times New Roman"/>
              </w:rPr>
              <w:t>.</w:t>
            </w:r>
          </w:p>
          <w:p w:rsidR="0036447E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Dārzeņu sulas.</w:t>
            </w:r>
          </w:p>
          <w:p w:rsidR="0036447E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Gurķis, lapu salāti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Neapstrādāti, šķiedraini dārzeņi, piemēram, kāposti, brokoļi, ziedkāposti, Briseles kāposti, kukurūza, ķirbis, redīsi, selerijas, puravi, sīpoli, ķiploki, paprika.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Pākšaugi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Zirņi, pup</w:t>
            </w:r>
            <w:r>
              <w:rPr>
                <w:lang w:eastAsia="en-US"/>
              </w:rPr>
              <w:t>as, lēcas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Augļi, ogas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Mīksti augļi bez mizas vai sēklām, kā arī to sulas: banāni, ābolu biezenis, ābolu sula, nogatavojušās </w:t>
            </w:r>
            <w:r>
              <w:rPr>
                <w:rFonts w:ascii="Times New Roman" w:hAnsi="Times New Roman"/>
              </w:rPr>
              <w:t xml:space="preserve">aprikozes, melone, </w:t>
            </w:r>
            <w:r>
              <w:rPr>
                <w:rFonts w:ascii="Times New Roman" w:hAnsi="Times New Roman"/>
              </w:rPr>
              <w:t>nektarīni</w:t>
            </w:r>
            <w:r>
              <w:rPr>
                <w:rFonts w:ascii="Times New Roman" w:hAnsi="Times New Roman"/>
              </w:rPr>
              <w:t xml:space="preserve">, persiki, </w:t>
            </w:r>
            <w:r>
              <w:rPr>
                <w:rFonts w:ascii="Times New Roman" w:hAnsi="Times New Roman"/>
              </w:rPr>
              <w:t>papaija</w:t>
            </w:r>
            <w:r>
              <w:rPr>
                <w:rFonts w:ascii="Times New Roman" w:hAnsi="Times New Roman"/>
              </w:rPr>
              <w:t>, plūmes, konservēti augļi  savā sulā.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Pa8"/>
              <w:spacing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Svaigi augļi ar mizu, sēklām, </w:t>
            </w:r>
            <w:r>
              <w:rPr>
                <w:rFonts w:ascii="Times New Roman" w:hAnsi="Times New Roman"/>
              </w:rPr>
              <w:t xml:space="preserve">konservēti augļi ar kauliņiem, žāvēti augļi, sukādes, ananāsi, citrusa augļi, vīģes, jebkuras ogas, kokosrieksts, </w:t>
            </w:r>
            <w:r>
              <w:rPr>
                <w:rFonts w:ascii="Times New Roman" w:hAnsi="Times New Roman"/>
              </w:rPr>
              <w:t>biezsulas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Rieksti un sēklas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Rieksti, mandeles, pistācijas, sēklas.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Dzērieni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Ūdens, zāļu tēja, nesaldinātas sulas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Alkohols,</w:t>
            </w:r>
          </w:p>
          <w:p w:rsidR="0036447E">
            <w:pPr>
              <w:pStyle w:val="NormalWeb"/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 kafija, zaļā t</w:t>
            </w:r>
            <w:r>
              <w:rPr>
                <w:lang w:eastAsia="en-US"/>
              </w:rPr>
              <w:t xml:space="preserve">ēja, </w:t>
            </w:r>
          </w:p>
          <w:p w:rsidR="0036447E">
            <w:pPr>
              <w:pStyle w:val="NormalWeb"/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dzirkstoši , gāzēti dzērieni,</w:t>
            </w:r>
          </w:p>
          <w:p w:rsidR="0036447E">
            <w:pPr>
              <w:pStyle w:val="NormalWeb"/>
              <w:snapToGrid w:val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saldināti dzērieni (kvass, </w:t>
            </w:r>
            <w:r>
              <w:rPr>
                <w:i/>
                <w:iCs/>
                <w:lang w:eastAsia="en-US"/>
              </w:rPr>
              <w:t>Coca-Cola</w:t>
            </w:r>
            <w:r>
              <w:rPr>
                <w:lang w:eastAsia="en-US"/>
              </w:rPr>
              <w:t>, limonādes u.c.),</w:t>
            </w:r>
          </w:p>
          <w:p w:rsidR="0036447E">
            <w:pPr>
              <w:pStyle w:val="NormalWeb"/>
              <w:snapToGrid w:val="0"/>
              <w:spacing w:line="24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kofeīnu saturoši dzērieni (t.sk., enerģijas dzērieni).</w:t>
            </w:r>
          </w:p>
          <w:p w:rsidR="0036447E">
            <w:pPr>
              <w:pStyle w:val="NormalWeb"/>
              <w:snapToGrid w:val="0"/>
              <w:contextualSpacing/>
              <w:rPr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Gaļa, zivis, olas vai sojas produkti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Liesa gaļa (vēlams vārīt, sautēt, tvaicēt).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Liesas zivis (menca, asaris, karpa u.c.).      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Konservētas zivis savā sulā.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Olas, olu ēdieni –omlete, kultenis.</w:t>
            </w:r>
          </w:p>
          <w:p w:rsidR="0036447E">
            <w:pPr>
              <w:pStyle w:val="NormalWeb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Tofu</w:t>
            </w:r>
            <w:r>
              <w:rPr>
                <w:lang w:eastAsia="en-US"/>
              </w:rPr>
              <w:t>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Gaļas izstrādājumi (desas, sardeles).</w:t>
            </w:r>
          </w:p>
          <w:p w:rsidR="0036447E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Cepta, žāvēta, kūpināta, </w:t>
            </w:r>
            <w:r>
              <w:rPr>
                <w:rFonts w:ascii="Times New Roman" w:hAnsi="Times New Roman"/>
                <w:sz w:val="24"/>
                <w:szCs w:val="24"/>
              </w:rPr>
              <w:t>grilēta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gaļa un zivis.</w:t>
            </w:r>
          </w:p>
          <w:p w:rsidR="0036447E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Trekna, kūpināta, pikanta, sīksta, stipri </w:t>
            </w:r>
            <w:r>
              <w:rPr>
                <w:rFonts w:ascii="Times New Roman" w:hAnsi="Times New Roman"/>
                <w:sz w:val="24"/>
                <w:szCs w:val="24"/>
              </w:rPr>
              <w:t>sacepta gaļa,                         speķis, putnu gaļas āda,                    gaļas konservi, aknas.</w:t>
            </w:r>
          </w:p>
          <w:p w:rsidR="0036447E">
            <w:pPr>
              <w:pStyle w:val="ListParagraph"/>
              <w:spacing w:after="200"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Treknas zivis (zuši, lasis, siļķe),   jūras veltas (garneles u.c.).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Piena produkti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Piena produkti ar pazeminātu tauku saturu – piens, kefīrs, jogurts,</w:t>
            </w:r>
            <w:r>
              <w:rPr>
                <w:lang w:eastAsia="en-US"/>
              </w:rPr>
              <w:t xml:space="preserve"> biezpiens, paniņas, svaigais siers.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Jogurts, kas satur sēklas, riekstus, pilnpiens, pilnpiena kefīrs, biezpiens, skābais krējums (tauku saturs&gt;20%),cietie un pikantie sieri (tauku saturs sausnā &gt;45%), glazētie biezpiena sieriņi,  sieri ar pelējumu.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Saldu</w:t>
            </w:r>
            <w:r>
              <w:rPr>
                <w:rFonts w:ascii="Times New Roman" w:hAnsi="Times New Roman"/>
                <w:b/>
                <w:bCs/>
              </w:rPr>
              <w:t>mi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Saldējums, krēmi, pudiņi, medus, džemi bez kauliņiem un sēklām, želejas, divas tējkarotes viendabīga zemesriekstu sviesta (vienā ēdienreizē).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Deserti, kas satur riekstus, sēklas, žāvētus augļus, sukādes, šerbets, halva.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 xml:space="preserve"> Trekni saldie ēdieni.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Tauki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Augu eļļas, sviests, krējums, majonēze – nelielā daudzumā (dažas tējkarotes ēdienreizē).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Augu eļļas, sviests, dzīvnieku tauki – lielos daudzumos.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Garšvielas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Pārējās garšvielas, “ maigas” salātu mērces.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lang w:eastAsia="en-US"/>
              </w:rPr>
              <w:t>Asas garšvielas, mārrut</w:t>
            </w:r>
            <w:r>
              <w:rPr>
                <w:lang w:eastAsia="en-US"/>
              </w:rPr>
              <w:t xml:space="preserve">ki, </w:t>
            </w:r>
            <w:r>
              <w:rPr>
                <w:lang w:eastAsia="en-US"/>
              </w:rPr>
              <w:t>čili</w:t>
            </w:r>
            <w:r>
              <w:rPr>
                <w:lang w:eastAsia="en-US"/>
              </w:rPr>
              <w:t xml:space="preserve">, graudu pipari, anīsa sēklas, rozmarīns, ķimenes, svaigus </w:t>
            </w:r>
            <w:r>
              <w:rPr>
                <w:lang w:eastAsia="en-US"/>
              </w:rPr>
              <w:t>garšaugus.</w:t>
            </w:r>
          </w:p>
        </w:tc>
      </w:tr>
      <w:tr>
        <w:tblPrEx>
          <w:tblW w:w="0" w:type="auto"/>
          <w:tblLook w:val="04A0"/>
        </w:tblPrEx>
        <w:tc>
          <w:tcPr>
            <w:tcW w:w="2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spacing w:after="0"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Citi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36447E">
            <w:pPr>
              <w:pStyle w:val="NormalWeb"/>
              <w:snapToGrid w:val="0"/>
              <w:spacing w:line="24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Sēnes.</w:t>
            </w:r>
          </w:p>
          <w:p w:rsidR="0036447E">
            <w:pPr>
              <w:pStyle w:val="NormalWeb"/>
              <w:snapToGrid w:val="0"/>
              <w:spacing w:line="240" w:lineRule="exact"/>
              <w:contextualSpacing/>
              <w:rPr>
                <w:lang w:eastAsia="en-US"/>
              </w:rPr>
            </w:pPr>
            <w:r>
              <w:rPr>
                <w:lang w:eastAsia="en-US"/>
              </w:rPr>
              <w:t>Ļoti trekni ēdieni.</w:t>
            </w:r>
          </w:p>
          <w:p w:rsidR="0036447E">
            <w:pPr>
              <w:pStyle w:val="NormalWeb"/>
              <w:snapToGrid w:val="0"/>
              <w:spacing w:line="240" w:lineRule="exact"/>
              <w:contextualSpacing/>
              <w:rPr>
                <w:sz w:val="24"/>
                <w:szCs w:val="24"/>
              </w:rPr>
            </w:pPr>
            <w:r>
              <w:rPr>
                <w:lang w:eastAsia="en-US"/>
              </w:rPr>
              <w:t>Pikanti pārtikas produkti.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36447E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nelietojiet saldus ēdienus un dzērienus;</w:t>
            </w:r>
          </w:p>
          <w:p w:rsidR="0036447E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palieliniet uzņemtā šķidruma daudzumu, lai izvairītos no </w:t>
            </w:r>
            <w:r>
              <w:rPr>
                <w:rFonts w:ascii="Times New Roman" w:hAnsi="Times New Roman"/>
                <w:sz w:val="24"/>
                <w:szCs w:val="24"/>
              </w:rPr>
              <w:t>atūdeņošanās;</w:t>
            </w:r>
          </w:p>
          <w:p w:rsidR="0036447E">
            <w:pPr>
              <w:pStyle w:val="ListParagraph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644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Iespējams Jums ir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tauku uzsūkšanās traucējumi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par ko liecina bieža vēdera izeja, taukainas, apjomīgas fēces. Šādā gadījumā Jums ar ārstu ir jāapspriež fermentu preparātu devas piemērošana, citu medikamentu lietošana un nepieciešamās uztura </w:t>
            </w:r>
            <w:r>
              <w:rPr>
                <w:rFonts w:ascii="Times New Roman" w:hAnsi="Times New Roman"/>
                <w:sz w:val="24"/>
                <w:szCs w:val="24"/>
              </w:rPr>
              <w:t>korekcijas.</w:t>
            </w:r>
          </w:p>
          <w:p w:rsidR="0036447E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turpinās svara zaudēšana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tas nozīmē, ka nepilnvērtīgi uzsūcas uzturvielas un ir nepieciešama palīdzība. Konsultējieties ar savu ārstu par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papildus preparātu lietošanu</w:t>
            </w:r>
            <w:r>
              <w:rPr>
                <w:rFonts w:ascii="Times New Roman" w:hAnsi="Times New Roman"/>
                <w:sz w:val="24"/>
                <w:szCs w:val="24"/>
              </w:rPr>
              <w:t>. Papildus parasti ārsts rekomendē uzņemt   taukos šķīstošo  vitamīnu (A,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D, E, K), multivitamīnu preparātus, bieži arī multivitamīnus un preparātus mazasinības ārstēšanai. Tāpat ārsts parasti nosaka kalcija, dzelzs un magnija līmeni, nepieciešamības gadījumā rekomendējot tos lietot papildus.</w:t>
            </w:r>
          </w:p>
          <w:p w:rsidR="0036447E">
            <w:pPr>
              <w:pStyle w:val="ListParagraph"/>
              <w:rPr>
                <w:rFonts w:ascii="Times New Roman" w:hAnsi="Times New Roman"/>
                <w:sz w:val="24"/>
                <w:szCs w:val="24"/>
              </w:rPr>
            </w:pPr>
          </w:p>
          <w:p w:rsidR="0036447E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ir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slikta dūša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ierobežojiet šķidru ēdienu uzņemšanu un vairāk izvēlieties sausākus, viegli sagremojamus ēdienus, tādus kā biezputras, vārīti kartupeļi, sausiņi, </w:t>
            </w:r>
            <w:r>
              <w:rPr>
                <w:rFonts w:ascii="Times New Roman" w:hAnsi="Times New Roman"/>
                <w:sz w:val="24"/>
                <w:szCs w:val="24"/>
              </w:rPr>
              <w:t>krekeri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6447E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apetīte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 ļoti samazinājusies un apēstais apjoms ir mazs, tad parasti ir nepieciešami uztura 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apildinājumi (medicīniskais </w:t>
            </w:r>
            <w:r>
              <w:rPr>
                <w:rFonts w:ascii="Times New Roman" w:hAnsi="Times New Roman"/>
                <w:sz w:val="24"/>
                <w:szCs w:val="24"/>
              </w:rPr>
              <w:t>papilduzturs</w:t>
            </w:r>
            <w:r>
              <w:rPr>
                <w:rFonts w:ascii="Times New Roman" w:hAnsi="Times New Roman"/>
                <w:sz w:val="24"/>
                <w:szCs w:val="24"/>
              </w:rPr>
              <w:t>), lai saglabātu svaru.</w:t>
            </w:r>
          </w:p>
          <w:p w:rsidR="0036447E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Jums ir jācenšas ēst veselīgi</w:t>
            </w:r>
            <w:r>
              <w:rPr>
                <w:rFonts w:ascii="Times New Roman" w:hAnsi="Times New Roman"/>
                <w:sz w:val="24"/>
                <w:szCs w:val="24"/>
              </w:rPr>
              <w:t>, tomēr atcerieties, ka pārāk liels šķiedrvielu daudzums uzturā var samazināt aizkuņģa dziedzera fermentu darbību.</w:t>
            </w:r>
          </w:p>
          <w:p w:rsidR="0036447E">
            <w:pPr>
              <w:pStyle w:val="ListParagraph"/>
              <w:numPr>
                <w:ilvl w:val="0"/>
                <w:numId w:val="3"/>
              </w:numPr>
              <w:spacing w:after="0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Atbilstoši savām spējām nodarbojieties ar fiziskajām aktivitātēm un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kontrolējiet savu svaru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47E">
            <w:pPr>
              <w:pStyle w:val="NormalWeb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Operācijas rezultātā gremošanas trakts ir izmainīts un paiet laiks, kamēr tas pielāgojas efektīvi funkcionēt. Šis pielāgošanās periods var aizņemt atšķirīgu laika </w:t>
            </w:r>
            <w:r>
              <w:rPr>
                <w:sz w:val="24"/>
                <w:szCs w:val="24"/>
              </w:rPr>
              <w:t>periodu no dažām nedēļām līdz vairākiem mēnešiem. Tas ir ļoti individuāli, un nav iespējams to paredzēt.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op w:val="nil"/>
              <w:tl2br w:val="nil"/>
              <w:tr2bl w:val="nil"/>
            </w:tcBorders>
          </w:tcPr>
          <w:p w:rsidR="0036447E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l2br w:val="nil"/>
              <w:tr2bl w:val="nil"/>
            </w:tcBorders>
          </w:tcPr>
          <w:p w:rsidR="005A749C" w:rsidP="005A749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Ieteikumi sagatavoti sadarbībā ar Rīgas Stradiņa universitātes asoc. prof.,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P.Stradiņa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Klīniskās universitātes slimnīcas dietoloģi,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Latvijas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Uzturzinātnes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speciālistu biedrības valdes priekšsēdētāju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Dr.Lailu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Meiju. Informatīvajā materiālā iekļautā informācija ir saskaņota ar Latvijas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Gastroenterologu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asociāciju un Latvijas Ķirurgu asociāciju.</w:t>
            </w:r>
          </w:p>
          <w:p w:rsidR="0036447E" w:rsidP="005A749C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Rekomendācijas ir vispārīgas. Katram cilvēk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am ir savas individuālās uztura vajadzības, ņemot vērā slimības smagumu, citas slimības, produktu nepanesību, lietotos medikamentus, vecumu, dzimumu, fizisko aktivitāti u.c. faktorus.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Lai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saņemtu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individuālas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rekomendācijas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konsultējaties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ar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dietologu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vai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uztura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speciālistu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.</w:t>
            </w:r>
            <w:bookmarkStart w:id="1" w:name="_GoBack"/>
            <w:bookmarkEnd w:id="1"/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Izmantotās literatūras avoti:</w:t>
            </w:r>
          </w:p>
        </w:tc>
      </w:tr>
      <w:tr>
        <w:tblPrEx>
          <w:tblW w:w="0" w:type="auto"/>
          <w:tblLook w:val="04A0"/>
        </w:tblPrEx>
        <w:tc>
          <w:tcPr>
            <w:tcW w:w="8522" w:type="dxa"/>
            <w:gridSpan w:val="7"/>
            <w:tcBorders>
              <w:tl2br w:val="nil"/>
              <w:tr2bl w:val="nil"/>
            </w:tcBorders>
          </w:tcPr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Academy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Nutrition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Dietetics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Oncology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Nutrition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https://www.oncologynutrition.org/erfc/eating-well-when-unwell/diet-after-whipple-procedure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Pancreatic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Acton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Network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47E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https://www.pancan.org/facing-pancreatic-cancer/living-with-pancreatic-cancer/diet-and-nutrition/after-a-whipple-procedure/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Councel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Victoria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447E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  <w:hyperlink r:id="rId10" w:anchor="issues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https://www.cancervic.org.au/cancer-information/types-of-cancer/pancreatic_cancer/pancreatic-diet.html#issues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Columbio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Iniversity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Irving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Medical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Center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https://colum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biasurgery.org/pancreas/pancreatitis-diet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Dietary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handbook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Managing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dietary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symptoms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people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foundation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6447E">
            <w:pPr>
              <w:pStyle w:val="ListParagraph"/>
              <w:ind w:left="1080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https://www.pa</w:t>
              </w:r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ncare.org.au/wp-content/uploads/2017/10/16-118-DIETARY-web-01.pdf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Leukemia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</w:rPr>
              <w:t>Lymphoma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Society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3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https://pearlpoint.org/nutrition-guidelines-following-a-whipple-procedure/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Cancer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Research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UK </w:t>
            </w:r>
            <w:hyperlink r:id="rId1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https://www.cancerresearchuk.org/about-cancer/pancreatic-cancer/living-with/diet</w:t>
              </w:r>
            </w:hyperlink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Ribichini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Emanuela, 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. "</w:t>
            </w:r>
            <w:r>
              <w:rPr>
                <w:rFonts w:ascii="Times New Roman" w:hAnsi="Times New Roman"/>
                <w:sz w:val="24"/>
                <w:szCs w:val="24"/>
              </w:rPr>
              <w:t>Role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fibre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nutritional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diseases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r>
              <w:rPr>
                <w:rFonts w:ascii="Times New Roman" w:hAnsi="Times New Roman"/>
                <w:sz w:val="24"/>
                <w:szCs w:val="24"/>
              </w:rPr>
              <w:t>Nutrients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11.9 (2019): 2219. </w:t>
            </w:r>
            <w:r>
              <w:rPr>
                <w:rFonts w:ascii="Times New Roman" w:hAnsi="Times New Roman"/>
                <w:sz w:val="24"/>
                <w:szCs w:val="24"/>
              </w:rPr>
              <w:t>Ribichini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Emanuela, </w:t>
            </w:r>
            <w:r>
              <w:rPr>
                <w:rFonts w:ascii="Times New Roman" w:hAnsi="Times New Roman"/>
                <w:sz w:val="24"/>
                <w:szCs w:val="24"/>
              </w:rPr>
              <w:t>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/>
                <w:sz w:val="24"/>
                <w:szCs w:val="24"/>
              </w:rPr>
              <w:t>. "</w:t>
            </w:r>
            <w:r>
              <w:rPr>
                <w:rFonts w:ascii="Times New Roman" w:hAnsi="Times New Roman"/>
                <w:sz w:val="24"/>
                <w:szCs w:val="24"/>
              </w:rPr>
              <w:t>Role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fibre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nutritional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management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pancreatic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diseases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." </w:t>
            </w:r>
            <w:r>
              <w:rPr>
                <w:rFonts w:ascii="Times New Roman" w:hAnsi="Times New Roman"/>
                <w:sz w:val="24"/>
                <w:szCs w:val="24"/>
              </w:rPr>
              <w:t>Nutrients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11.9 (2019): 2219.</w:t>
            </w:r>
          </w:p>
          <w:p w:rsidR="003644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Attēla izmantošana saskaņota ar www.uptodate.com vietnes uzturētāju un attēla autoru </w:t>
            </w:r>
            <w:r>
              <w:rPr>
                <w:rFonts w:ascii="Times New Roman" w:hAnsi="Times New Roman"/>
                <w:sz w:val="24"/>
                <w:szCs w:val="24"/>
              </w:rPr>
              <w:t>Vege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SS. Attēla pirmavots: </w:t>
            </w:r>
            <w:r>
              <w:rPr>
                <w:rFonts w:ascii="Times New Roman" w:hAnsi="Times New Roman"/>
                <w:sz w:val="24"/>
                <w:szCs w:val="24"/>
              </w:rPr>
              <w:t>Vege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SS. </w:t>
            </w:r>
            <w:r>
              <w:rPr>
                <w:rFonts w:ascii="Times New Roman" w:hAnsi="Times New Roman"/>
                <w:sz w:val="24"/>
                <w:szCs w:val="24"/>
              </w:rPr>
              <w:t>Patient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Acute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pancreatitis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Beyond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Basics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>
              <w:rPr>
                <w:rFonts w:ascii="Times New Roman" w:hAnsi="Times New Roman"/>
                <w:sz w:val="24"/>
                <w:szCs w:val="24"/>
              </w:rPr>
              <w:t>Copyright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© 2020 </w:t>
            </w:r>
            <w:r>
              <w:rPr>
                <w:rFonts w:ascii="Times New Roman" w:hAnsi="Times New Roman"/>
                <w:sz w:val="24"/>
                <w:szCs w:val="24"/>
              </w:rPr>
              <w:t>UpToDate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Inc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Attēla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autors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neuzņemas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atbildību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attēla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tulkojumu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Attēls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oriģinālvalodā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skatāms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www.uptodate.com.</w:t>
            </w:r>
          </w:p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660" w:hanging="660" w:hangingChars="300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>
                <w:rPr>
                  <w:rStyle w:val="Hyperlink"/>
                </w:rPr>
                <w:t>https://www-uptodate-com.db.rsu.lv/contents/images/PI/61473/PancreasanatomyPI.jpg</w:t>
              </w:r>
            </w:hyperlink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E w:val="0"/>
              <w:autoSpaceDN w:val="0"/>
              <w:adjustRightInd w:val="0"/>
              <w:spacing w:after="200" w:line="240" w:lineRule="auto"/>
              <w:ind w:left="720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1832" w:type="dxa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8" w:type="dxa"/>
            <w:gridSpan w:val="3"/>
            <w:tcBorders>
              <w:tl2br w:val="nil"/>
              <w:tr2bl w:val="nil"/>
            </w:tcBorders>
          </w:tcPr>
          <w:p w:rsidR="0036447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447E">
      <w:pPr>
        <w:rPr>
          <w:rFonts w:ascii="Times New Roman" w:hAnsi="Times New Roman"/>
          <w:sz w:val="24"/>
          <w:szCs w:val="24"/>
        </w:rPr>
      </w:pPr>
    </w:p>
    <w:sectPr>
      <w:headerReference w:type="default" r:id="rId16"/>
      <w:footerReference w:type="default" r:id="rId1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ZYXQY N+ News Gothic BT">
    <w:altName w:val="Calibri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4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47E">
                          <w:pPr>
                            <w:pStyle w:val="Footer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in;height:2in;margin-top:0;margin-left:0;mso-position-horizontal:right;mso-position-horizontal-relative:margin;mso-wrap-distance-bottom:0;mso-wrap-distance-left:9pt;mso-wrap-distance-right:9pt;mso-wrap-distance-top:0;mso-wrap-style:none;position:absolute;v-text-anchor:top;z-index:251658240" filled="f" fillcolor="this" stroked="f" strokeweight="0.5pt">
              <v:textbox style="mso-fit-shape-to-text:t" inset="0,0,0,0">
                <w:txbxContent>
                  <w:p w:rsidR="0036447E">
                    <w:pPr>
                      <w:pStyle w:val="Foo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749C" w:rsidRPr="005A749C" w:rsidP="005A749C">
    <w:pPr>
      <w:pStyle w:val="Header"/>
      <w:jc w:val="right"/>
    </w:pPr>
    <w:r w:rsidRPr="005A749C">
      <w:rPr>
        <w:b/>
        <w:bCs/>
      </w:rPr>
      <w:t>Pielikums Nr.</w:t>
    </w:r>
    <w:r>
      <w:rPr>
        <w:b/>
        <w:bCs/>
      </w:rPr>
      <w:t>8</w:t>
    </w:r>
    <w:r w:rsidRPr="005A749C">
      <w:rPr>
        <w:b/>
        <w:bCs/>
      </w:rPr>
      <w:t xml:space="preserve"> Veselības ministrijas </w:t>
    </w:r>
    <w:r w:rsidRPr="005A749C">
      <w:rPr>
        <w:b/>
        <w:bCs/>
        <w:noProof/>
      </w:rPr>
      <w:t>Datums skatāms laika zīmogā</w:t>
    </w:r>
    <w:r w:rsidRPr="005A749C">
      <w:rPr>
        <w:b/>
        <w:bCs/>
      </w:rPr>
      <w:t xml:space="preserve"> rīkojumam Nr. </w:t>
    </w:r>
    <w:r w:rsidRPr="005A749C">
      <w:rPr>
        <w:b/>
        <w:bCs/>
        <w:noProof/>
      </w:rPr>
      <w:t>200</w:t>
    </w:r>
  </w:p>
  <w:p w:rsidR="005A7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320F2B46"/>
    <w:multiLevelType w:val="multilevel"/>
    <w:tmpl w:val="320F2B46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1">
    <w:nsid w:val="34001F09"/>
    <w:multiLevelType w:val="multilevel"/>
    <w:tmpl w:val="34001F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474DA58D"/>
    <w:multiLevelType w:val="singleLevel"/>
    <w:tmpl w:val="474DA58D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="360" w:hangingChars="200"/>
      </w:pPr>
      <w:rPr>
        <w:rFonts w:ascii="Wingdings" w:hAnsi="Wingdings" w:hint="default"/>
      </w:rPr>
    </w:lvl>
  </w:abstractNum>
  <w:abstractNum w:abstractNumId="3" w15:restartNumberingAfterBreak="1">
    <w:nsid w:val="5FE1043A"/>
    <w:multiLevelType w:val="multilevel"/>
    <w:tmpl w:val="5FE104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6FD502E5"/>
    <w:multiLevelType w:val="multilevel"/>
    <w:tmpl w:val="6FD502E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172A27"/>
    <w:rsid w:val="00087F63"/>
    <w:rsid w:val="00171C2E"/>
    <w:rsid w:val="00172A27"/>
    <w:rsid w:val="0036447E"/>
    <w:rsid w:val="003E02AE"/>
    <w:rsid w:val="005A749C"/>
    <w:rsid w:val="00D7105E"/>
    <w:rsid w:val="334368B8"/>
    <w:rsid w:val="37D35953"/>
    <w:rsid w:val="40FA5612"/>
    <w:rsid w:val="43B36716"/>
    <w:rsid w:val="645F54B9"/>
    <w:rsid w:val="6D9E5AFC"/>
    <w:rsid w:val="70E9575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807CB1-B8C1-415A-96E5-A296C5C7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uiPriority="99" w:unhideWhenUsed="1" w:qFormat="1"/>
    <w:lsdException w:name="List Bullet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</w:pBd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">
    <w:name w:val="Saraksta rindkopa"/>
    <w:basedOn w:val="Parasts"/>
    <w:qFormat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customStyle="1" w:styleId="Parasts">
    <w:name w:val="Parasts"/>
    <w:qFormat/>
    <w:pPr>
      <w:pBdr>
        <w:top w:val="nil"/>
        <w:left w:val="nil"/>
        <w:bottom w:val="nil"/>
        <w:right w:val="nil"/>
      </w:pBdr>
      <w:suppressAutoHyphens/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val="ru-RU" w:eastAsia="en-US"/>
    </w:rPr>
  </w:style>
  <w:style w:type="character" w:customStyle="1" w:styleId="Noklusjumarindkopasfonts">
    <w:name w:val="Noklusējuma rindkopas fonts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ListTable4-Accent31">
    <w:name w:val="List Table 4 - Accent 31"/>
    <w:basedOn w:val="TableNormal"/>
    <w:uiPriority w:val="49"/>
    <w:qFormat/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ps">
    <w:name w:val="hps"/>
    <w:basedOn w:val="DefaultParagraphFont"/>
    <w:qFormat/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customStyle="1" w:styleId="Pa8">
    <w:name w:val="Pa8"/>
    <w:basedOn w:val="Normal"/>
    <w:next w:val="Normal"/>
    <w:uiPriority w:val="99"/>
    <w:qFormat/>
    <w:pPr>
      <w:autoSpaceDE w:val="0"/>
      <w:autoSpaceDN w:val="0"/>
      <w:adjustRightInd w:val="0"/>
      <w:spacing w:after="0" w:line="201" w:lineRule="atLeast"/>
    </w:pPr>
    <w:rPr>
      <w:rFonts w:ascii="ZYXQY N+ News Gothic BT" w:hAnsi="ZYXQY N+ News Gothic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ancervic.org.au/cancer-information/types-of-cancer/pancreatic_cancer/pancreatic-diet.html" TargetMode="External" /><Relationship Id="rId11" Type="http://schemas.openxmlformats.org/officeDocument/2006/relationships/hyperlink" Target="https://columbiasurgery.org/pancreas/pancreatitis-diet" TargetMode="External" /><Relationship Id="rId12" Type="http://schemas.openxmlformats.org/officeDocument/2006/relationships/hyperlink" Target="https://www.pancare.org.au/wp-content/uploads/2017/10/16-118-DIETARY-web-01.pdf" TargetMode="External" /><Relationship Id="rId13" Type="http://schemas.openxmlformats.org/officeDocument/2006/relationships/hyperlink" Target="https://pearlpoint.org/nutrition-guidelines-following-a-whipple-procedure/" TargetMode="External" /><Relationship Id="rId14" Type="http://schemas.openxmlformats.org/officeDocument/2006/relationships/hyperlink" Target="https://www.cancerresearchuk.org/about-cancer/pancreatic-cancer/living-with/diet" TargetMode="External" /><Relationship Id="rId15" Type="http://schemas.openxmlformats.org/officeDocument/2006/relationships/hyperlink" Target="https://www-uptodate-com.db.rsu.lv/contents/images/PI/61473/PancreasanatomyPI.jpg" TargetMode="External" /><Relationship Id="rId16" Type="http://schemas.openxmlformats.org/officeDocument/2006/relationships/header" Target="header1.xm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hyperlink" Target="http://www.uptodate.com" TargetMode="External" /><Relationship Id="rId8" Type="http://schemas.openxmlformats.org/officeDocument/2006/relationships/hyperlink" Target="https://www.oncologynutrition.org/erfc/eating-well-when-unwell/diet-after-whipple-procedure" TargetMode="External" /><Relationship Id="rId9" Type="http://schemas.openxmlformats.org/officeDocument/2006/relationships/hyperlink" Target="https://www.pancan.org/facing-pancreatic-cancer/living-with-pancreatic-cancer/diet-and-nutrition/after-a-whipple-procedure/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1545</Words>
  <Characters>12357</Characters>
  <Application>Microsoft Office Word</Application>
  <DocSecurity>0</DocSecurity>
  <Lines>102</Lines>
  <Paragraphs>27</Paragraphs>
  <ScaleCrop>false</ScaleCrop>
  <Company/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</dc:creator>
  <cp:lastModifiedBy>Ieva Apine</cp:lastModifiedBy>
  <cp:revision>5</cp:revision>
  <dcterms:created xsi:type="dcterms:W3CDTF">2020-11-11T08:22:00Z</dcterms:created>
  <dcterms:modified xsi:type="dcterms:W3CDTF">2020-11-13T13:00:00Z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