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7.0 -->
  <w:body>
    <w:p w:rsidR="00163532" w14:paraId="0FD88F5E" w14:textId="77777777"/>
    <w:tbl>
      <w:tblPr>
        <w:tblStyle w:val="TableGrid"/>
        <w:tblpPr w:leftFromText="180" w:rightFromText="180" w:vertAnchor="page" w:horzAnchor="page" w:tblpX="1831" w:tblpY="2336"/>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2301"/>
        <w:gridCol w:w="2755"/>
        <w:gridCol w:w="3466"/>
      </w:tblGrid>
      <w:tr w14:paraId="79D3FDDD" w14:textId="77777777">
        <w:tblPrEx>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Ex>
        <w:tc>
          <w:tcPr>
            <w:tcW w:w="8522" w:type="dxa"/>
            <w:gridSpan w:val="3"/>
            <w:tcBorders>
              <w:tl2br w:val="nil"/>
              <w:tr2bl w:val="nil"/>
            </w:tcBorders>
          </w:tcPr>
          <w:p w:rsidR="00163532" w14:paraId="72A44889" w14:textId="77777777">
            <w:pPr>
              <w:jc w:val="center"/>
              <w:rPr>
                <w:rFonts w:ascii="Times New Roman" w:hAnsi="Times New Roman"/>
                <w:color w:val="000000"/>
                <w:sz w:val="21"/>
                <w:szCs w:val="21"/>
                <w:lang w:eastAsia="lv-LV"/>
              </w:rPr>
            </w:pPr>
          </w:p>
          <w:p w:rsidR="00AC6FDF" w:rsidRPr="00163532" w14:paraId="6AAC94C3" w14:textId="0200C578">
            <w:pPr>
              <w:jc w:val="center"/>
              <w:rPr>
                <w:rFonts w:ascii="Times New Roman" w:hAnsi="Times New Roman"/>
                <w:color w:val="000000"/>
                <w:sz w:val="21"/>
                <w:szCs w:val="21"/>
                <w:lang w:eastAsia="lv-LV"/>
              </w:rPr>
            </w:pPr>
            <w:r>
              <w:rPr>
                <w:rFonts w:ascii="Times New Roman" w:hAnsi="Times New Roman"/>
                <w:noProof/>
                <w:sz w:val="24"/>
                <w:szCs w:val="24"/>
              </w:rPr>
              <w:drawing>
                <wp:anchor distT="0" distB="0" distL="114300" distR="114300" simplePos="0" relativeHeight="251658240" behindDoc="1" locked="0" layoutInCell="1" allowOverlap="1">
                  <wp:simplePos x="0" y="0"/>
                  <wp:positionH relativeFrom="column">
                    <wp:posOffset>-619125</wp:posOffset>
                  </wp:positionH>
                  <wp:positionV relativeFrom="paragraph">
                    <wp:posOffset>-1013460</wp:posOffset>
                  </wp:positionV>
                  <wp:extent cx="6597650" cy="1209675"/>
                  <wp:effectExtent l="0" t="0" r="0" b="9525"/>
                  <wp:wrapNone/>
                  <wp:docPr id="1" name="Picture 1" descr="C:\Users\Šlšrutš MT\Downloads\VM_ESF_LV_koriget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446944" name="Picture 1" descr="C:\Users\Šlšrutš MT\Downloads\VM_ESF_LV_korigets (1).JP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rcRect l="-144" t="25294"/>
                          <a:stretch>
                            <a:fillRect/>
                          </a:stretch>
                        </pic:blipFill>
                        <pic:spPr bwMode="auto">
                          <a:xfrm>
                            <a:off x="0" y="0"/>
                            <a:ext cx="6597650" cy="12096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olor w:val="000000"/>
                <w:sz w:val="21"/>
                <w:szCs w:val="21"/>
                <w:lang w:eastAsia="lv-LV"/>
              </w:rPr>
              <w:t>Ieteikumi izstrādāti ESF projekta „Kompleksi veselības veicināšanas un slimību profilakses pasākumi” ietvaros (identifikācijas Nr.9.2.4.1./16/I/001)</w:t>
            </w:r>
          </w:p>
        </w:tc>
      </w:tr>
      <w:tr w14:paraId="3E52E662" w14:textId="77777777">
        <w:tblPrEx>
          <w:tblW w:w="0" w:type="auto"/>
          <w:tblLook w:val="04A0"/>
        </w:tblPrEx>
        <w:tc>
          <w:tcPr>
            <w:tcW w:w="8522" w:type="dxa"/>
            <w:gridSpan w:val="3"/>
            <w:tcBorders>
              <w:tl2br w:val="nil"/>
              <w:tr2bl w:val="nil"/>
            </w:tcBorders>
          </w:tcPr>
          <w:p w:rsidR="00AC6FDF" w14:paraId="54BEFF3F" w14:textId="77777777">
            <w:pPr>
              <w:rPr>
                <w:rFonts w:ascii="Times New Roman" w:hAnsi="Times New Roman"/>
              </w:rPr>
            </w:pPr>
          </w:p>
        </w:tc>
      </w:tr>
      <w:tr w14:paraId="4744FCA1" w14:textId="77777777">
        <w:tblPrEx>
          <w:tblW w:w="0" w:type="auto"/>
          <w:tblLook w:val="04A0"/>
        </w:tblPrEx>
        <w:tc>
          <w:tcPr>
            <w:tcW w:w="8522" w:type="dxa"/>
            <w:gridSpan w:val="3"/>
            <w:tcBorders>
              <w:tl2br w:val="nil"/>
              <w:tr2bl w:val="nil"/>
            </w:tcBorders>
          </w:tcPr>
          <w:p w:rsidR="00AC6FDF" w14:paraId="0D5D16EB" w14:textId="77777777">
            <w:pPr>
              <w:jc w:val="center"/>
              <w:rPr>
                <w:rFonts w:ascii="Times New Roman" w:hAnsi="Times New Roman"/>
              </w:rPr>
            </w:pPr>
            <w:r>
              <w:rPr>
                <w:rFonts w:ascii="Times New Roman" w:hAnsi="Times New Roman"/>
                <w:b/>
                <w:bCs/>
                <w:sz w:val="28"/>
                <w:szCs w:val="28"/>
              </w:rPr>
              <w:t>Uztura ieteikumi pacientiem ar hronisku pankreatītu</w:t>
            </w:r>
          </w:p>
        </w:tc>
      </w:tr>
      <w:tr w14:paraId="5A5BC763" w14:textId="77777777">
        <w:tblPrEx>
          <w:tblW w:w="0" w:type="auto"/>
          <w:tblLook w:val="04A0"/>
        </w:tblPrEx>
        <w:tc>
          <w:tcPr>
            <w:tcW w:w="8522" w:type="dxa"/>
            <w:gridSpan w:val="3"/>
            <w:tcBorders>
              <w:bottom w:val="nil"/>
              <w:tl2br w:val="nil"/>
              <w:tr2bl w:val="nil"/>
            </w:tcBorders>
          </w:tcPr>
          <w:p w:rsidR="00AC6FDF" w14:paraId="3C9C7C5D" w14:textId="77777777">
            <w:pPr>
              <w:rPr>
                <w:rFonts w:ascii="Times New Roman" w:hAnsi="Times New Roman"/>
                <w:sz w:val="24"/>
                <w:szCs w:val="24"/>
              </w:rPr>
            </w:pPr>
          </w:p>
        </w:tc>
      </w:tr>
      <w:tr w14:paraId="5F64F3EF" w14:textId="77777777">
        <w:tblPrEx>
          <w:tblW w:w="0" w:type="auto"/>
          <w:tblLook w:val="04A0"/>
        </w:tblPrEx>
        <w:tc>
          <w:tcPr>
            <w:tcW w:w="8522" w:type="dxa"/>
            <w:gridSpan w:val="3"/>
            <w:tcBorders>
              <w:top w:val="nil"/>
              <w:left w:val="nil"/>
              <w:bottom w:val="nil"/>
              <w:right w:val="nil"/>
              <w:tl2br w:val="nil"/>
              <w:tr2bl w:val="nil"/>
            </w:tcBorders>
          </w:tcPr>
          <w:p w:rsidR="00AC6FDF" w14:paraId="0DFD055F" w14:textId="77777777">
            <w:pPr>
              <w:rPr>
                <w:rFonts w:ascii="Times New Roman" w:hAnsi="Times New Roman"/>
                <w:sz w:val="24"/>
                <w:szCs w:val="24"/>
              </w:rPr>
            </w:pPr>
            <w:r>
              <w:rPr>
                <w:rFonts w:ascii="Times New Roman" w:hAnsi="Times New Roman"/>
                <w:b/>
                <w:bCs/>
                <w:sz w:val="24"/>
                <w:szCs w:val="24"/>
              </w:rPr>
              <w:t>Aizkuņģa dziedzeris (</w:t>
            </w:r>
            <w:r>
              <w:rPr>
                <w:rFonts w:ascii="Times New Roman" w:hAnsi="Times New Roman"/>
                <w:b/>
                <w:bCs/>
                <w:i/>
                <w:iCs/>
                <w:sz w:val="24"/>
                <w:szCs w:val="24"/>
              </w:rPr>
              <w:t>latīņu: pancreas</w:t>
            </w:r>
            <w:r>
              <w:rPr>
                <w:rFonts w:ascii="Times New Roman" w:hAnsi="Times New Roman"/>
                <w:b/>
                <w:bCs/>
                <w:sz w:val="24"/>
                <w:szCs w:val="24"/>
              </w:rPr>
              <w:t>)</w:t>
            </w:r>
            <w:r>
              <w:rPr>
                <w:rFonts w:ascii="Times New Roman" w:hAnsi="Times New Roman"/>
                <w:sz w:val="24"/>
                <w:szCs w:val="24"/>
              </w:rPr>
              <w:t xml:space="preserve"> ražo gremošanas fermentus, kas šķeļ olbaltumvielas, taukus, ogļhidrātus un izdala tos divpadsmitpirkstu zarnā. Tas ražo arī hormonus, kas regulē cukura līmeni asinīs - insulīnu. </w:t>
            </w:r>
          </w:p>
          <w:p w:rsidR="00AC6FDF" w14:paraId="3EC3D046" w14:textId="77777777">
            <w:pPr>
              <w:rPr>
                <w:rFonts w:ascii="Times New Roman" w:hAnsi="Times New Roman"/>
                <w:sz w:val="24"/>
                <w:szCs w:val="24"/>
              </w:rPr>
            </w:pPr>
            <w:r>
              <w:rPr>
                <w:rFonts w:ascii="Times New Roman" w:hAnsi="Times New Roman"/>
                <w:b/>
                <w:bCs/>
                <w:sz w:val="24"/>
                <w:szCs w:val="24"/>
              </w:rPr>
              <w:t>Hronisks pankreatīts</w:t>
            </w:r>
            <w:r>
              <w:rPr>
                <w:rFonts w:ascii="Times New Roman" w:hAnsi="Times New Roman"/>
                <w:sz w:val="24"/>
                <w:szCs w:val="24"/>
              </w:rPr>
              <w:t xml:space="preserve"> ir ilgstošs aizkuņģa dziedzera iekaisums, kā rezultātā  aizkuņģa dziedzeris nevar pildīt savas funkcijas, t.i., ir apgrūtināta uzturvielu uzsūkšanās (it īpaši tauku uzsūkšanās, kas izpaužas kā taukaina caureju) un sagremošana. Nespējot uzņemt visas ar uzt</w:t>
            </w:r>
            <w:r>
              <w:rPr>
                <w:rFonts w:ascii="Times New Roman" w:hAnsi="Times New Roman"/>
                <w:sz w:val="24"/>
                <w:szCs w:val="24"/>
              </w:rPr>
              <w:t>uru saņemtās uzturvielas, laika gaitā veidojas uzturvielu deficīts un svara zudums.</w:t>
            </w:r>
          </w:p>
          <w:p w:rsidR="00AC6FDF" w14:paraId="7919E132" w14:textId="77777777">
            <w:pPr>
              <w:jc w:val="center"/>
              <w:rPr>
                <w:rFonts w:ascii="Times New Roman" w:hAnsi="Times New Roman"/>
                <w:sz w:val="24"/>
                <w:szCs w:val="24"/>
              </w:rPr>
            </w:pPr>
            <w:r>
              <w:rPr>
                <w:rFonts w:ascii="Times New Roman" w:eastAsia="Times New Roman" w:hAnsi="Times New Roman"/>
                <w:noProof/>
                <w:sz w:val="24"/>
                <w:szCs w:val="24"/>
                <w:lang w:eastAsia="en-GB"/>
              </w:rPr>
              <w:drawing>
                <wp:inline distT="0" distB="0" distL="0" distR="0">
                  <wp:extent cx="3496945" cy="3657600"/>
                  <wp:effectExtent l="0" t="0" r="8255"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603905" name="Picture 4" descr="Diagram&#10;&#10;Description automatically generated"/>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3510634" cy="3671378"/>
                          </a:xfrm>
                          <a:prstGeom prst="rect">
                            <a:avLst/>
                          </a:prstGeom>
                        </pic:spPr>
                      </pic:pic>
                    </a:graphicData>
                  </a:graphic>
                </wp:inline>
              </w:drawing>
            </w:r>
          </w:p>
          <w:p w:rsidR="00AC6FDF" w14:paraId="70E13E36" w14:textId="77777777">
            <w:pPr>
              <w:jc w:val="center"/>
              <w:rPr>
                <w:rFonts w:ascii="Times New Roman" w:hAnsi="Times New Roman"/>
                <w:color w:val="000000" w:themeColor="text1"/>
                <w:sz w:val="24"/>
                <w:szCs w:val="24"/>
              </w:rPr>
            </w:pPr>
            <w:bookmarkStart w:id="0" w:name="_Hlk53065766"/>
            <w:r>
              <w:rPr>
                <w:rFonts w:ascii="Times New Roman" w:hAnsi="Times New Roman"/>
                <w:color w:val="000000" w:themeColor="text1"/>
                <w:sz w:val="24"/>
                <w:szCs w:val="24"/>
              </w:rPr>
              <w:t xml:space="preserve">Vizualizācijai izmantots attēls no: </w:t>
            </w:r>
            <w:hyperlink r:id="rId7" w:history="1">
              <w:r>
                <w:rPr>
                  <w:rStyle w:val="Hyperlink"/>
                  <w:rFonts w:ascii="Times New Roman" w:hAnsi="Times New Roman"/>
                  <w:sz w:val="24"/>
                  <w:szCs w:val="24"/>
                </w:rPr>
                <w:t>www.uptodate.com</w:t>
              </w:r>
            </w:hyperlink>
            <w:r>
              <w:rPr>
                <w:rFonts w:ascii="Times New Roman" w:hAnsi="Times New Roman"/>
                <w:color w:val="000000" w:themeColor="text1"/>
                <w:sz w:val="24"/>
                <w:szCs w:val="24"/>
              </w:rPr>
              <w:t>.</w:t>
            </w:r>
          </w:p>
          <w:bookmarkEnd w:id="0"/>
          <w:p w:rsidR="00AC6FDF" w14:paraId="0C1C91FC" w14:textId="77777777">
            <w:pPr>
              <w:rPr>
                <w:rFonts w:ascii="Times New Roman" w:hAnsi="Times New Roman"/>
                <w:b/>
                <w:bCs/>
                <w:sz w:val="24"/>
                <w:szCs w:val="24"/>
              </w:rPr>
            </w:pPr>
            <w:r>
              <w:rPr>
                <w:rFonts w:ascii="Times New Roman" w:hAnsi="Times New Roman"/>
                <w:b/>
                <w:bCs/>
                <w:sz w:val="24"/>
                <w:szCs w:val="24"/>
              </w:rPr>
              <w:t>Uztura ieteikumi:</w:t>
            </w:r>
          </w:p>
          <w:p w:rsidR="00AC6FDF" w14:paraId="3F192778" w14:textId="77777777">
            <w:pPr>
              <w:rPr>
                <w:rFonts w:ascii="Times New Roman" w:hAnsi="Times New Roman"/>
                <w:sz w:val="24"/>
                <w:szCs w:val="24"/>
              </w:rPr>
            </w:pPr>
            <w:r>
              <w:rPr>
                <w:rFonts w:ascii="Times New Roman" w:hAnsi="Times New Roman"/>
                <w:sz w:val="24"/>
                <w:szCs w:val="24"/>
              </w:rPr>
              <w:t xml:space="preserve">Aizliegts lietot alkoholiskus dzērienus, jo tie bieži ir </w:t>
            </w:r>
            <w:r>
              <w:rPr>
                <w:rFonts w:ascii="Times New Roman" w:hAnsi="Times New Roman"/>
                <w:sz w:val="24"/>
                <w:szCs w:val="24"/>
              </w:rPr>
              <w:t>tiešais pankreatīta cēlonis.</w:t>
            </w:r>
          </w:p>
          <w:p w:rsidR="00AC6FDF" w14:paraId="430C05E7" w14:textId="77777777">
            <w:pPr>
              <w:rPr>
                <w:rFonts w:ascii="Times New Roman" w:hAnsi="Times New Roman"/>
                <w:sz w:val="24"/>
                <w:szCs w:val="24"/>
              </w:rPr>
            </w:pPr>
            <w:r>
              <w:rPr>
                <w:rFonts w:ascii="Times New Roman" w:hAnsi="Times New Roman"/>
                <w:sz w:val="24"/>
                <w:szCs w:val="24"/>
              </w:rPr>
              <w:t xml:space="preserve">Hroniska pankreatīta gadījumā visbiezāk tiek nozīmēti </w:t>
            </w:r>
            <w:r>
              <w:rPr>
                <w:rFonts w:ascii="Times New Roman" w:hAnsi="Times New Roman"/>
                <w:b/>
                <w:bCs/>
                <w:sz w:val="24"/>
                <w:szCs w:val="24"/>
              </w:rPr>
              <w:t>aizkuņģa dziedzera fermentu preparāti</w:t>
            </w:r>
            <w:r>
              <w:rPr>
                <w:rFonts w:ascii="Times New Roman" w:hAnsi="Times New Roman"/>
                <w:sz w:val="24"/>
                <w:szCs w:val="24"/>
              </w:rPr>
              <w:t>, lai uzlabotu uztura sagremošanu. Tie jālieto maltīšu laikā tādās devās, kādās norādījis ārsts</w:t>
            </w:r>
            <w:r>
              <w:rPr>
                <w:rFonts w:ascii="Times New Roman" w:hAnsi="Times New Roman"/>
                <w:sz w:val="24"/>
                <w:szCs w:val="24"/>
              </w:rPr>
              <w:t>.</w:t>
            </w:r>
          </w:p>
          <w:p w:rsidR="00AC6FDF" w14:paraId="05FFD493" w14:textId="77777777">
            <w:pPr>
              <w:rPr>
                <w:rFonts w:ascii="Times New Roman" w:hAnsi="Times New Roman"/>
                <w:sz w:val="24"/>
                <w:szCs w:val="24"/>
              </w:rPr>
            </w:pPr>
            <w:bookmarkStart w:id="1" w:name="_GoBack"/>
            <w:bookmarkEnd w:id="1"/>
            <w:r>
              <w:rPr>
                <w:rFonts w:ascii="Times New Roman" w:hAnsi="Times New Roman"/>
                <w:b/>
                <w:bCs/>
                <w:sz w:val="24"/>
                <w:szCs w:val="24"/>
              </w:rPr>
              <w:t>Svarīgi</w:t>
            </w:r>
            <w:r>
              <w:rPr>
                <w:rFonts w:ascii="Times New Roman" w:hAnsi="Times New Roman"/>
                <w:sz w:val="24"/>
                <w:szCs w:val="24"/>
              </w:rPr>
              <w:t xml:space="preserve"> ir uzņemt pilnvērtīgu uzturu,</w:t>
            </w:r>
            <w:r>
              <w:rPr>
                <w:rFonts w:ascii="Times New Roman" w:hAnsi="Times New Roman"/>
                <w:sz w:val="24"/>
                <w:szCs w:val="24"/>
              </w:rPr>
              <w:t xml:space="preserve"> jāēd daudzveidīgi, uzturā ietverot visas pārtikas produktu grupas. Vienlaikus ir rekomendējams uzturs ar </w:t>
            </w:r>
            <w:r>
              <w:rPr>
                <w:rFonts w:ascii="Times New Roman" w:hAnsi="Times New Roman"/>
                <w:b/>
                <w:bCs/>
                <w:sz w:val="24"/>
                <w:szCs w:val="24"/>
              </w:rPr>
              <w:t>samazinātu šķiedrvielu daudzumu</w:t>
            </w:r>
            <w:r>
              <w:rPr>
                <w:rFonts w:ascii="Times New Roman" w:hAnsi="Times New Roman"/>
                <w:i/>
                <w:iCs/>
                <w:sz w:val="24"/>
                <w:szCs w:val="24"/>
              </w:rPr>
              <w:t xml:space="preserve">, </w:t>
            </w:r>
            <w:r>
              <w:rPr>
                <w:rFonts w:ascii="Times New Roman" w:hAnsi="Times New Roman"/>
                <w:sz w:val="24"/>
                <w:szCs w:val="24"/>
              </w:rPr>
              <w:t>jo šķiedrvielas var kavēt  aizkuņģa dziedzera fermentu preparātu darbību, var kavēt ar uzturu uzņemto uzturvielu uzsū</w:t>
            </w:r>
            <w:r>
              <w:rPr>
                <w:rFonts w:ascii="Times New Roman" w:hAnsi="Times New Roman"/>
                <w:sz w:val="24"/>
                <w:szCs w:val="24"/>
              </w:rPr>
              <w:t xml:space="preserve">kšanos, var palielināt svara zuduma risku, kā arī var veicināt vēdera uzpūšanos. </w:t>
            </w:r>
          </w:p>
          <w:p w:rsidR="00AC6FDF" w14:paraId="428ABC41" w14:textId="77777777">
            <w:pPr>
              <w:rPr>
                <w:rFonts w:ascii="Times New Roman" w:hAnsi="Times New Roman"/>
                <w:color w:val="000000" w:themeColor="text1"/>
                <w:sz w:val="24"/>
                <w:szCs w:val="24"/>
              </w:rPr>
            </w:pPr>
            <w:r>
              <w:rPr>
                <w:rFonts w:ascii="Times New Roman" w:hAnsi="Times New Roman"/>
                <w:sz w:val="24"/>
                <w:szCs w:val="24"/>
              </w:rPr>
              <w:t>Taču tas nenozīmē, ka šķiedrvielu saturoši produkti jāizslēdz vispār. Svarīgākie šķiedrvielu avoti ir pākšaugi, rudzu un kliju maize, dārzeņi,  kas uzturā ir iekļaujami.</w:t>
            </w:r>
          </w:p>
        </w:tc>
      </w:tr>
      <w:tr w14:paraId="53EEC194" w14:textId="77777777">
        <w:tblPrEx>
          <w:tblW w:w="0" w:type="auto"/>
          <w:tblLook w:val="04A0"/>
        </w:tblPrEx>
        <w:tc>
          <w:tcPr>
            <w:tcW w:w="2301" w:type="dxa"/>
            <w:tcBorders>
              <w:top w:val="nil"/>
              <w:left w:val="nil"/>
              <w:bottom w:val="single" w:sz="4" w:space="0" w:color="auto"/>
              <w:right w:val="nil"/>
            </w:tcBorders>
          </w:tcPr>
          <w:p w:rsidR="00AC6FDF" w14:paraId="3EEF0E5C" w14:textId="77777777">
            <w:pPr>
              <w:jc w:val="center"/>
              <w:rPr>
                <w:rFonts w:ascii="Times New Roman" w:hAnsi="Times New Roman"/>
                <w:b/>
                <w:bCs/>
                <w:sz w:val="24"/>
                <w:szCs w:val="24"/>
              </w:rPr>
            </w:pPr>
          </w:p>
        </w:tc>
        <w:tc>
          <w:tcPr>
            <w:tcW w:w="2755" w:type="dxa"/>
            <w:tcBorders>
              <w:top w:val="nil"/>
              <w:left w:val="nil"/>
              <w:bottom w:val="single" w:sz="4" w:space="0" w:color="auto"/>
              <w:right w:val="nil"/>
            </w:tcBorders>
          </w:tcPr>
          <w:p w:rsidR="00AC6FDF" w14:paraId="7406C6E5" w14:textId="77777777">
            <w:pPr>
              <w:jc w:val="center"/>
              <w:rPr>
                <w:rFonts w:ascii="Times New Roman" w:hAnsi="Times New Roman"/>
                <w:b/>
                <w:bCs/>
                <w:sz w:val="24"/>
                <w:szCs w:val="24"/>
              </w:rPr>
            </w:pPr>
          </w:p>
        </w:tc>
        <w:tc>
          <w:tcPr>
            <w:tcW w:w="3466" w:type="dxa"/>
            <w:tcBorders>
              <w:top w:val="nil"/>
              <w:left w:val="nil"/>
              <w:bottom w:val="single" w:sz="4" w:space="0" w:color="auto"/>
              <w:right w:val="nil"/>
            </w:tcBorders>
          </w:tcPr>
          <w:p w:rsidR="00AC6FDF" w14:paraId="43093979" w14:textId="77777777">
            <w:pPr>
              <w:jc w:val="center"/>
              <w:rPr>
                <w:rFonts w:ascii="Times New Roman" w:hAnsi="Times New Roman"/>
                <w:b/>
                <w:bCs/>
                <w:sz w:val="24"/>
                <w:szCs w:val="24"/>
              </w:rPr>
            </w:pPr>
          </w:p>
        </w:tc>
      </w:tr>
      <w:tr w14:paraId="1B912BE7" w14:textId="77777777">
        <w:tblPrEx>
          <w:tblW w:w="0" w:type="auto"/>
          <w:tblLook w:val="04A0"/>
        </w:tblPrEx>
        <w:tc>
          <w:tcPr>
            <w:tcW w:w="2301" w:type="dxa"/>
            <w:tcBorders>
              <w:top w:val="single" w:sz="4" w:space="0" w:color="auto"/>
              <w:left w:val="single" w:sz="4" w:space="0" w:color="auto"/>
              <w:bottom w:val="single" w:sz="4" w:space="0" w:color="auto"/>
              <w:right w:val="single" w:sz="4" w:space="0" w:color="auto"/>
            </w:tcBorders>
          </w:tcPr>
          <w:p w:rsidR="00AC6FDF" w14:paraId="098536D1" w14:textId="77777777">
            <w:pPr>
              <w:jc w:val="center"/>
              <w:rPr>
                <w:rFonts w:ascii="Times New Roman" w:hAnsi="Times New Roman"/>
                <w:sz w:val="24"/>
                <w:szCs w:val="24"/>
              </w:rPr>
            </w:pPr>
            <w:r>
              <w:rPr>
                <w:rFonts w:ascii="Times New Roman" w:hAnsi="Times New Roman"/>
                <w:b/>
                <w:bCs/>
                <w:sz w:val="24"/>
                <w:szCs w:val="24"/>
              </w:rPr>
              <w:t>Produktu grupas</w:t>
            </w:r>
          </w:p>
        </w:tc>
        <w:tc>
          <w:tcPr>
            <w:tcW w:w="2755" w:type="dxa"/>
            <w:tcBorders>
              <w:top w:val="single" w:sz="4" w:space="0" w:color="auto"/>
              <w:left w:val="single" w:sz="4" w:space="0" w:color="auto"/>
              <w:bottom w:val="single" w:sz="4" w:space="0" w:color="auto"/>
              <w:right w:val="single" w:sz="4" w:space="0" w:color="auto"/>
            </w:tcBorders>
          </w:tcPr>
          <w:p w:rsidR="00AC6FDF" w14:paraId="5694A08E" w14:textId="77777777">
            <w:pPr>
              <w:jc w:val="center"/>
              <w:rPr>
                <w:rFonts w:ascii="Times New Roman" w:hAnsi="Times New Roman"/>
                <w:sz w:val="24"/>
                <w:szCs w:val="24"/>
              </w:rPr>
            </w:pPr>
            <w:r>
              <w:rPr>
                <w:rFonts w:ascii="Times New Roman" w:hAnsi="Times New Roman"/>
                <w:b/>
                <w:bCs/>
                <w:sz w:val="24"/>
                <w:szCs w:val="24"/>
              </w:rPr>
              <w:t>Ieteicamie produkti (ar zemu šķiedrvielu daudzumu un citi ieteicamie produkti)</w:t>
            </w:r>
          </w:p>
        </w:tc>
        <w:tc>
          <w:tcPr>
            <w:tcW w:w="3466" w:type="dxa"/>
            <w:tcBorders>
              <w:top w:val="single" w:sz="4" w:space="0" w:color="auto"/>
              <w:left w:val="single" w:sz="4" w:space="0" w:color="auto"/>
              <w:bottom w:val="single" w:sz="4" w:space="0" w:color="auto"/>
              <w:right w:val="single" w:sz="4" w:space="0" w:color="auto"/>
            </w:tcBorders>
          </w:tcPr>
          <w:p w:rsidR="00AC6FDF" w14:paraId="1EE03D02" w14:textId="77777777">
            <w:pPr>
              <w:jc w:val="center"/>
              <w:rPr>
                <w:rFonts w:ascii="Times New Roman" w:hAnsi="Times New Roman"/>
                <w:sz w:val="24"/>
                <w:szCs w:val="24"/>
              </w:rPr>
            </w:pPr>
            <w:r>
              <w:rPr>
                <w:rFonts w:ascii="Times New Roman" w:hAnsi="Times New Roman"/>
                <w:b/>
                <w:bCs/>
                <w:sz w:val="24"/>
                <w:szCs w:val="24"/>
              </w:rPr>
              <w:t>Produkti, no kuriem izvairīties  vai lietot ierobežotā daudzumā</w:t>
            </w:r>
          </w:p>
        </w:tc>
      </w:tr>
      <w:tr w14:paraId="18892770" w14:textId="77777777">
        <w:tblPrEx>
          <w:tblW w:w="0" w:type="auto"/>
          <w:tblLook w:val="04A0"/>
        </w:tblPrEx>
        <w:tc>
          <w:tcPr>
            <w:tcW w:w="2301" w:type="dxa"/>
            <w:tcBorders>
              <w:top w:val="single" w:sz="4" w:space="0" w:color="auto"/>
              <w:left w:val="single" w:sz="4" w:space="0" w:color="000000" w:themeColor="text1"/>
              <w:bottom w:val="single" w:sz="4" w:space="0" w:color="000000" w:themeColor="text1"/>
              <w:right w:val="single" w:sz="4" w:space="0" w:color="000000" w:themeColor="text1"/>
            </w:tcBorders>
          </w:tcPr>
          <w:p w:rsidR="00AC6FDF" w14:paraId="2B4DFCE9" w14:textId="77777777">
            <w:pPr>
              <w:rPr>
                <w:rFonts w:ascii="Times New Roman" w:hAnsi="Times New Roman"/>
                <w:b/>
                <w:bCs/>
                <w:sz w:val="24"/>
                <w:szCs w:val="24"/>
              </w:rPr>
            </w:pPr>
            <w:r>
              <w:rPr>
                <w:rFonts w:ascii="Times New Roman" w:hAnsi="Times New Roman"/>
                <w:b/>
                <w:bCs/>
                <w:sz w:val="24"/>
                <w:szCs w:val="24"/>
              </w:rPr>
              <w:t>Graudaugi</w:t>
            </w:r>
          </w:p>
        </w:tc>
        <w:tc>
          <w:tcPr>
            <w:tcW w:w="2755" w:type="dxa"/>
            <w:tcBorders>
              <w:top w:val="single" w:sz="4" w:space="0" w:color="auto"/>
              <w:left w:val="single" w:sz="4" w:space="0" w:color="000000" w:themeColor="text1"/>
              <w:bottom w:val="single" w:sz="4" w:space="0" w:color="000000" w:themeColor="text1"/>
              <w:right w:val="single" w:sz="4" w:space="0" w:color="000000" w:themeColor="text1"/>
            </w:tcBorders>
          </w:tcPr>
          <w:p w:rsidR="00AC6FDF" w14:paraId="69EC2EC3" w14:textId="77777777">
            <w:pPr>
              <w:rPr>
                <w:rFonts w:ascii="Times New Roman" w:hAnsi="Times New Roman"/>
                <w:sz w:val="24"/>
                <w:szCs w:val="24"/>
              </w:rPr>
            </w:pPr>
            <w:r>
              <w:rPr>
                <w:rFonts w:ascii="Times New Roman" w:hAnsi="Times New Roman"/>
                <w:sz w:val="24"/>
                <w:szCs w:val="24"/>
              </w:rPr>
              <w:t xml:space="preserve">Vārīti graudaugu produkti (manna, kukurūza, baltie rīsi, auzu pārslas). </w:t>
            </w:r>
            <w:r>
              <w:rPr>
                <w:rFonts w:ascii="Times New Roman" w:hAnsi="Times New Roman"/>
                <w:sz w:val="24"/>
                <w:szCs w:val="24"/>
              </w:rPr>
              <w:t>Baltmaize, cepumi (bez piedevām (riekstiem, rozīnēm, sēkliņām, krēmiem), kviešu miltu saldskābmaize,   makaroni, pankūkas un vafeles.</w:t>
            </w:r>
          </w:p>
        </w:tc>
        <w:tc>
          <w:tcPr>
            <w:tcW w:w="3466" w:type="dxa"/>
            <w:tcBorders>
              <w:top w:val="single" w:sz="4" w:space="0" w:color="auto"/>
              <w:left w:val="single" w:sz="4" w:space="0" w:color="000000" w:themeColor="text1"/>
              <w:bottom w:val="single" w:sz="4" w:space="0" w:color="000000" w:themeColor="text1"/>
              <w:right w:val="single" w:sz="4" w:space="0" w:color="000000" w:themeColor="text1"/>
            </w:tcBorders>
          </w:tcPr>
          <w:p w:rsidR="00AC6FDF" w14:paraId="24CAF0EB" w14:textId="77777777">
            <w:pPr>
              <w:rPr>
                <w:rFonts w:ascii="Times New Roman" w:hAnsi="Times New Roman"/>
                <w:sz w:val="24"/>
                <w:szCs w:val="24"/>
              </w:rPr>
            </w:pPr>
            <w:r>
              <w:rPr>
                <w:rFonts w:ascii="Times New Roman" w:hAnsi="Times New Roman"/>
                <w:sz w:val="24"/>
                <w:szCs w:val="24"/>
              </w:rPr>
              <w:t>Pilngraudu produkti – pilngraudu pārslu putras (mieži, griķi), musli, popkorns, maize, kas satur sēklas, žāvētus augļus, p</w:t>
            </w:r>
            <w:r>
              <w:rPr>
                <w:rFonts w:ascii="Times New Roman" w:hAnsi="Times New Roman"/>
                <w:sz w:val="24"/>
                <w:szCs w:val="24"/>
              </w:rPr>
              <w:t>ilngraudu maize, kviešu klijas, brūnie rīsi, pilngraudu makaroni, klijas.</w:t>
            </w:r>
          </w:p>
        </w:tc>
      </w:tr>
      <w:tr w14:paraId="4B3DDED9" w14:textId="77777777">
        <w:tblPrEx>
          <w:tblW w:w="0" w:type="auto"/>
          <w:tblLook w:val="04A0"/>
        </w:tblPrEx>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FDF" w14:paraId="60BAB2C7" w14:textId="77777777">
            <w:pPr>
              <w:rPr>
                <w:rFonts w:ascii="Times New Roman" w:hAnsi="Times New Roman"/>
                <w:b/>
                <w:bCs/>
                <w:sz w:val="24"/>
                <w:szCs w:val="24"/>
              </w:rPr>
            </w:pPr>
            <w:r>
              <w:rPr>
                <w:rFonts w:ascii="Times New Roman" w:hAnsi="Times New Roman"/>
                <w:b/>
                <w:bCs/>
                <w:sz w:val="24"/>
                <w:szCs w:val="24"/>
              </w:rPr>
              <w:t>Kartupeļi</w:t>
            </w:r>
          </w:p>
        </w:tc>
        <w:tc>
          <w:tcPr>
            <w:tcW w:w="2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FDF" w14:paraId="756953E2" w14:textId="77777777">
            <w:pPr>
              <w:rPr>
                <w:rFonts w:ascii="Times New Roman" w:hAnsi="Times New Roman"/>
                <w:sz w:val="24"/>
                <w:szCs w:val="24"/>
              </w:rPr>
            </w:pPr>
            <w:r>
              <w:rPr>
                <w:rFonts w:ascii="Times New Roman" w:hAnsi="Times New Roman"/>
                <w:sz w:val="24"/>
                <w:szCs w:val="24"/>
              </w:rPr>
              <w:t>Vārīti kartupeļi, kartupeļu biezputra, saldie kartupeļi</w:t>
            </w:r>
          </w:p>
        </w:tc>
        <w:tc>
          <w:tcPr>
            <w:tcW w:w="3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FDF" w14:paraId="64C3EBE7" w14:textId="77777777">
            <w:pPr>
              <w:rPr>
                <w:rFonts w:ascii="Times New Roman" w:hAnsi="Times New Roman"/>
                <w:sz w:val="24"/>
                <w:szCs w:val="24"/>
              </w:rPr>
            </w:pPr>
            <w:r>
              <w:rPr>
                <w:rFonts w:ascii="Times New Roman" w:hAnsi="Times New Roman"/>
                <w:sz w:val="24"/>
                <w:szCs w:val="24"/>
              </w:rPr>
              <w:t>Frī kartupeļi, cepti kartupeļi, kroketes,  ar mizu vārīti kartupeļi, kartupeļu pankūkas</w:t>
            </w:r>
          </w:p>
        </w:tc>
      </w:tr>
      <w:tr w14:paraId="24538CEF" w14:textId="77777777">
        <w:tblPrEx>
          <w:tblW w:w="0" w:type="auto"/>
          <w:tblLook w:val="04A0"/>
        </w:tblPrEx>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FDF" w14:paraId="1F9B142F" w14:textId="77777777">
            <w:pPr>
              <w:rPr>
                <w:rFonts w:ascii="Times New Roman" w:hAnsi="Times New Roman"/>
                <w:b/>
                <w:bCs/>
                <w:sz w:val="24"/>
                <w:szCs w:val="24"/>
              </w:rPr>
            </w:pPr>
            <w:r>
              <w:rPr>
                <w:rFonts w:ascii="Times New Roman" w:hAnsi="Times New Roman"/>
                <w:b/>
                <w:bCs/>
                <w:sz w:val="24"/>
                <w:szCs w:val="24"/>
              </w:rPr>
              <w:t>Dārzeņi</w:t>
            </w:r>
          </w:p>
        </w:tc>
        <w:tc>
          <w:tcPr>
            <w:tcW w:w="2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FDF" w14:paraId="1B621163" w14:textId="77777777">
            <w:pPr>
              <w:rPr>
                <w:rFonts w:ascii="Times New Roman" w:hAnsi="Times New Roman"/>
                <w:sz w:val="24"/>
                <w:szCs w:val="24"/>
              </w:rPr>
            </w:pPr>
            <w:r>
              <w:rPr>
                <w:rFonts w:ascii="Times New Roman" w:hAnsi="Times New Roman"/>
                <w:sz w:val="24"/>
                <w:szCs w:val="24"/>
              </w:rPr>
              <w:t xml:space="preserve">Termiski </w:t>
            </w:r>
            <w:r>
              <w:rPr>
                <w:rFonts w:ascii="Times New Roman" w:hAnsi="Times New Roman"/>
                <w:sz w:val="24"/>
                <w:szCs w:val="24"/>
              </w:rPr>
              <w:t>apstrādāti, mizoti dārzeņi: burkāni, tomāti, spināti, baklažāns, kabači, cukīni u.c. Dārzeņu sulas. Gurķi, lapu salāti.</w:t>
            </w:r>
          </w:p>
        </w:tc>
        <w:tc>
          <w:tcPr>
            <w:tcW w:w="3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FDF" w14:paraId="1C41D34A" w14:textId="77777777">
            <w:pPr>
              <w:rPr>
                <w:rFonts w:ascii="Times New Roman" w:hAnsi="Times New Roman"/>
                <w:sz w:val="24"/>
                <w:szCs w:val="24"/>
              </w:rPr>
            </w:pPr>
            <w:r>
              <w:rPr>
                <w:rFonts w:ascii="Times New Roman" w:hAnsi="Times New Roman"/>
                <w:sz w:val="24"/>
                <w:szCs w:val="24"/>
              </w:rPr>
              <w:t>Neapstrādāti, šķiedraini dārzeņi, piemēram, kāposti, brokoļi, ziedkāposti, Briseles kāposti, kukurūza, ķirbis, redīsi, selerijas, puravi</w:t>
            </w:r>
            <w:r>
              <w:rPr>
                <w:rFonts w:ascii="Times New Roman" w:hAnsi="Times New Roman"/>
                <w:sz w:val="24"/>
                <w:szCs w:val="24"/>
              </w:rPr>
              <w:t>, sīpoli, ķiploki, paprika.</w:t>
            </w:r>
          </w:p>
        </w:tc>
      </w:tr>
      <w:tr w14:paraId="5BC57699" w14:textId="77777777">
        <w:tblPrEx>
          <w:tblW w:w="0" w:type="auto"/>
          <w:tblLook w:val="04A0"/>
        </w:tblPrEx>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FDF" w14:paraId="34527881" w14:textId="77777777">
            <w:pPr>
              <w:rPr>
                <w:rFonts w:ascii="Times New Roman" w:hAnsi="Times New Roman"/>
                <w:b/>
                <w:bCs/>
                <w:sz w:val="24"/>
                <w:szCs w:val="24"/>
              </w:rPr>
            </w:pPr>
            <w:r>
              <w:rPr>
                <w:rFonts w:ascii="Times New Roman" w:hAnsi="Times New Roman"/>
                <w:b/>
                <w:bCs/>
                <w:sz w:val="24"/>
                <w:szCs w:val="24"/>
              </w:rPr>
              <w:t>Pākšaugi</w:t>
            </w:r>
          </w:p>
        </w:tc>
        <w:tc>
          <w:tcPr>
            <w:tcW w:w="2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FDF" w14:paraId="5AE5B1DF" w14:textId="77777777">
            <w:pPr>
              <w:rPr>
                <w:rFonts w:ascii="Times New Roman" w:hAnsi="Times New Roman"/>
                <w:sz w:val="24"/>
                <w:szCs w:val="24"/>
              </w:rPr>
            </w:pPr>
          </w:p>
        </w:tc>
        <w:tc>
          <w:tcPr>
            <w:tcW w:w="3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FDF" w14:paraId="38E59D04" w14:textId="77777777">
            <w:pPr>
              <w:rPr>
                <w:rFonts w:ascii="Times New Roman" w:hAnsi="Times New Roman"/>
                <w:sz w:val="24"/>
                <w:szCs w:val="24"/>
              </w:rPr>
            </w:pPr>
            <w:r>
              <w:rPr>
                <w:rFonts w:ascii="Times New Roman" w:hAnsi="Times New Roman"/>
                <w:sz w:val="24"/>
                <w:szCs w:val="24"/>
              </w:rPr>
              <w:t>Zirņi, pupas, lēcas.</w:t>
            </w:r>
          </w:p>
        </w:tc>
      </w:tr>
      <w:tr w14:paraId="40B104E3" w14:textId="77777777">
        <w:tblPrEx>
          <w:tblW w:w="0" w:type="auto"/>
          <w:tblLook w:val="04A0"/>
        </w:tblPrEx>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FDF" w14:paraId="4163A4BF" w14:textId="77777777">
            <w:pPr>
              <w:rPr>
                <w:rFonts w:ascii="Times New Roman" w:hAnsi="Times New Roman"/>
                <w:b/>
                <w:bCs/>
                <w:sz w:val="24"/>
                <w:szCs w:val="24"/>
              </w:rPr>
            </w:pPr>
            <w:r>
              <w:rPr>
                <w:rFonts w:ascii="Times New Roman" w:hAnsi="Times New Roman"/>
                <w:b/>
                <w:bCs/>
                <w:sz w:val="24"/>
                <w:szCs w:val="24"/>
              </w:rPr>
              <w:t>Augļi, ogas</w:t>
            </w:r>
          </w:p>
        </w:tc>
        <w:tc>
          <w:tcPr>
            <w:tcW w:w="2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FDF" w14:paraId="26B41312" w14:textId="77777777">
            <w:pPr>
              <w:rPr>
                <w:rFonts w:ascii="Times New Roman" w:hAnsi="Times New Roman"/>
                <w:sz w:val="24"/>
                <w:szCs w:val="24"/>
              </w:rPr>
            </w:pPr>
            <w:r>
              <w:rPr>
                <w:rFonts w:ascii="Times New Roman" w:hAnsi="Times New Roman"/>
                <w:sz w:val="24"/>
                <w:szCs w:val="24"/>
              </w:rPr>
              <w:t>Mīksti augļi bez mizas vai sēklām, kā arī to sulas: banāni, ābolu biezenis, ābolu sula, nogatavojušās aprikozes, melone, nektarīni, persiki, papaija, plūmes, konservēti augļi  savā su</w:t>
            </w:r>
            <w:r>
              <w:rPr>
                <w:rFonts w:ascii="Times New Roman" w:hAnsi="Times New Roman"/>
                <w:sz w:val="24"/>
                <w:szCs w:val="24"/>
              </w:rPr>
              <w:t>lā.</w:t>
            </w:r>
          </w:p>
        </w:tc>
        <w:tc>
          <w:tcPr>
            <w:tcW w:w="3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FDF" w14:paraId="654C71A7" w14:textId="77777777">
            <w:pPr>
              <w:rPr>
                <w:rFonts w:ascii="Times New Roman" w:hAnsi="Times New Roman"/>
                <w:sz w:val="24"/>
                <w:szCs w:val="24"/>
              </w:rPr>
            </w:pPr>
            <w:r>
              <w:rPr>
                <w:rFonts w:ascii="Times New Roman" w:hAnsi="Times New Roman"/>
                <w:sz w:val="24"/>
                <w:szCs w:val="24"/>
              </w:rPr>
              <w:t>Svaigi augļi ar mizu, sēklām, konservēti augļi ar kauliņiem, žāvēti augļi, sukādes, ananasi, citrusa augļi, vīģes, jebkuras ogas, kokosrieksts, biezsulas.</w:t>
            </w:r>
          </w:p>
        </w:tc>
      </w:tr>
      <w:tr w14:paraId="559BFEF5" w14:textId="77777777">
        <w:tblPrEx>
          <w:tblW w:w="0" w:type="auto"/>
          <w:tblLook w:val="04A0"/>
        </w:tblPrEx>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FDF" w14:paraId="62153D8C" w14:textId="77777777">
            <w:pPr>
              <w:rPr>
                <w:rFonts w:ascii="Times New Roman" w:hAnsi="Times New Roman"/>
                <w:b/>
                <w:bCs/>
                <w:sz w:val="24"/>
                <w:szCs w:val="24"/>
              </w:rPr>
            </w:pPr>
            <w:r>
              <w:rPr>
                <w:rFonts w:ascii="Times New Roman" w:hAnsi="Times New Roman"/>
                <w:b/>
                <w:bCs/>
                <w:sz w:val="24"/>
                <w:szCs w:val="24"/>
              </w:rPr>
              <w:t>Rieksti un sēklas</w:t>
            </w:r>
          </w:p>
        </w:tc>
        <w:tc>
          <w:tcPr>
            <w:tcW w:w="2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FDF" w14:paraId="63E70FD4" w14:textId="77777777">
            <w:pPr>
              <w:rPr>
                <w:rFonts w:ascii="Times New Roman" w:hAnsi="Times New Roman"/>
                <w:sz w:val="24"/>
                <w:szCs w:val="24"/>
              </w:rPr>
            </w:pPr>
          </w:p>
        </w:tc>
        <w:tc>
          <w:tcPr>
            <w:tcW w:w="3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FDF" w14:paraId="32572E67" w14:textId="77777777">
            <w:pPr>
              <w:rPr>
                <w:rFonts w:ascii="Times New Roman" w:hAnsi="Times New Roman"/>
                <w:sz w:val="24"/>
                <w:szCs w:val="24"/>
              </w:rPr>
            </w:pPr>
            <w:r>
              <w:rPr>
                <w:rFonts w:ascii="Times New Roman" w:hAnsi="Times New Roman"/>
                <w:sz w:val="24"/>
                <w:szCs w:val="24"/>
              </w:rPr>
              <w:t>Rieksti, mandeles, pistācijas, sēklas</w:t>
            </w:r>
          </w:p>
        </w:tc>
      </w:tr>
      <w:tr w14:paraId="4D7EB17B" w14:textId="77777777">
        <w:tblPrEx>
          <w:tblW w:w="0" w:type="auto"/>
          <w:tblLook w:val="04A0"/>
        </w:tblPrEx>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FDF" w14:paraId="5C90D92A" w14:textId="77777777">
            <w:pPr>
              <w:rPr>
                <w:rFonts w:ascii="Times New Roman" w:hAnsi="Times New Roman"/>
                <w:b/>
                <w:bCs/>
                <w:sz w:val="24"/>
                <w:szCs w:val="24"/>
              </w:rPr>
            </w:pPr>
            <w:r>
              <w:rPr>
                <w:rFonts w:ascii="Times New Roman" w:hAnsi="Times New Roman"/>
                <w:b/>
                <w:bCs/>
                <w:sz w:val="24"/>
                <w:szCs w:val="24"/>
              </w:rPr>
              <w:t>Dzērieni</w:t>
            </w:r>
          </w:p>
        </w:tc>
        <w:tc>
          <w:tcPr>
            <w:tcW w:w="2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FDF" w14:paraId="3BE80A22" w14:textId="77777777">
            <w:pPr>
              <w:rPr>
                <w:rFonts w:ascii="Times New Roman" w:hAnsi="Times New Roman"/>
                <w:sz w:val="24"/>
                <w:szCs w:val="24"/>
              </w:rPr>
            </w:pPr>
            <w:r>
              <w:rPr>
                <w:rFonts w:ascii="Times New Roman" w:hAnsi="Times New Roman"/>
                <w:sz w:val="24"/>
                <w:szCs w:val="24"/>
              </w:rPr>
              <w:t xml:space="preserve">Ūdens, zāļu tēja, nesaldinātas sulas. </w:t>
            </w:r>
          </w:p>
        </w:tc>
        <w:tc>
          <w:tcPr>
            <w:tcW w:w="3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FDF" w14:paraId="4FD98714" w14:textId="77777777">
            <w:pPr>
              <w:rPr>
                <w:rFonts w:ascii="Times New Roman" w:hAnsi="Times New Roman"/>
                <w:sz w:val="24"/>
                <w:szCs w:val="24"/>
              </w:rPr>
            </w:pPr>
            <w:r>
              <w:rPr>
                <w:rFonts w:ascii="Times New Roman" w:hAnsi="Times New Roman"/>
                <w:sz w:val="24"/>
                <w:szCs w:val="24"/>
              </w:rPr>
              <w:t xml:space="preserve">Alkohols, kafija, zaļā tēja, dzirkstoši, gāzēti dzērieni, saldināti dzērieni (kvass, </w:t>
            </w:r>
            <w:r>
              <w:rPr>
                <w:rFonts w:ascii="Times New Roman" w:hAnsi="Times New Roman"/>
                <w:i/>
                <w:iCs/>
                <w:sz w:val="24"/>
                <w:szCs w:val="24"/>
              </w:rPr>
              <w:t>Coca-Cola</w:t>
            </w:r>
            <w:r>
              <w:rPr>
                <w:rFonts w:ascii="Times New Roman" w:hAnsi="Times New Roman"/>
                <w:sz w:val="24"/>
                <w:szCs w:val="24"/>
              </w:rPr>
              <w:t>, limonādes u.c.), kofeīnu saturoši dzērieni (iesk. enerģijas dzērieni).</w:t>
            </w:r>
          </w:p>
          <w:p w:rsidR="00AC6FDF" w14:paraId="671FE41A" w14:textId="77777777">
            <w:pPr>
              <w:rPr>
                <w:rFonts w:ascii="Times New Roman" w:hAnsi="Times New Roman"/>
                <w:sz w:val="24"/>
                <w:szCs w:val="24"/>
              </w:rPr>
            </w:pPr>
          </w:p>
        </w:tc>
      </w:tr>
      <w:tr w14:paraId="5C89BDDC" w14:textId="77777777">
        <w:tblPrEx>
          <w:tblW w:w="0" w:type="auto"/>
          <w:tblLook w:val="04A0"/>
        </w:tblPrEx>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FDF" w14:paraId="106B9514" w14:textId="77777777">
            <w:pPr>
              <w:rPr>
                <w:rFonts w:ascii="Times New Roman" w:hAnsi="Times New Roman"/>
                <w:b/>
                <w:bCs/>
                <w:sz w:val="24"/>
                <w:szCs w:val="24"/>
              </w:rPr>
            </w:pPr>
            <w:r>
              <w:rPr>
                <w:rFonts w:ascii="Times New Roman" w:hAnsi="Times New Roman"/>
                <w:b/>
                <w:bCs/>
                <w:sz w:val="24"/>
                <w:szCs w:val="24"/>
              </w:rPr>
              <w:t>Gaļa, zivis, olas vai sojas produkti</w:t>
            </w:r>
          </w:p>
        </w:tc>
        <w:tc>
          <w:tcPr>
            <w:tcW w:w="2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FDF" w14:paraId="0A42C822" w14:textId="77777777">
            <w:pPr>
              <w:rPr>
                <w:rFonts w:ascii="Times New Roman" w:hAnsi="Times New Roman"/>
                <w:sz w:val="24"/>
                <w:szCs w:val="24"/>
              </w:rPr>
            </w:pPr>
            <w:r>
              <w:rPr>
                <w:rFonts w:ascii="Times New Roman" w:hAnsi="Times New Roman"/>
                <w:sz w:val="24"/>
                <w:szCs w:val="24"/>
              </w:rPr>
              <w:t xml:space="preserve">Liesa gaļa </w:t>
            </w:r>
            <w:r>
              <w:rPr>
                <w:rFonts w:ascii="Times New Roman" w:hAnsi="Times New Roman"/>
                <w:sz w:val="24"/>
                <w:szCs w:val="24"/>
              </w:rPr>
              <w:t xml:space="preserve">(vēlams vārīt, sautēt, tvaicēt). Liesas zivis (menca, asaris, karpa u.c.).      </w:t>
            </w:r>
          </w:p>
          <w:p w:rsidR="00AC6FDF" w14:paraId="3F0465BE" w14:textId="77777777">
            <w:pPr>
              <w:rPr>
                <w:rFonts w:ascii="Times New Roman" w:hAnsi="Times New Roman"/>
                <w:sz w:val="24"/>
                <w:szCs w:val="24"/>
              </w:rPr>
            </w:pPr>
            <w:r>
              <w:rPr>
                <w:rFonts w:ascii="Times New Roman" w:hAnsi="Times New Roman"/>
                <w:sz w:val="24"/>
                <w:szCs w:val="24"/>
              </w:rPr>
              <w:t>Konservētas zivis savā sulā. Olas, olu ēdieni –omlete, kultenis.</w:t>
            </w:r>
          </w:p>
          <w:p w:rsidR="00AC6FDF" w14:paraId="26BFF601" w14:textId="77777777">
            <w:pPr>
              <w:rPr>
                <w:rFonts w:ascii="Times New Roman" w:hAnsi="Times New Roman"/>
                <w:sz w:val="24"/>
                <w:szCs w:val="24"/>
              </w:rPr>
            </w:pPr>
            <w:r>
              <w:rPr>
                <w:rFonts w:ascii="Times New Roman" w:hAnsi="Times New Roman"/>
                <w:sz w:val="24"/>
                <w:szCs w:val="24"/>
              </w:rPr>
              <w:t>Tofu.</w:t>
            </w:r>
          </w:p>
        </w:tc>
        <w:tc>
          <w:tcPr>
            <w:tcW w:w="3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FDF" w14:paraId="2D4D3EE2" w14:textId="77777777">
            <w:pPr>
              <w:rPr>
                <w:rFonts w:ascii="Times New Roman" w:hAnsi="Times New Roman"/>
                <w:sz w:val="24"/>
                <w:szCs w:val="24"/>
              </w:rPr>
            </w:pPr>
            <w:r>
              <w:rPr>
                <w:rFonts w:ascii="Times New Roman" w:hAnsi="Times New Roman"/>
                <w:sz w:val="24"/>
                <w:szCs w:val="24"/>
              </w:rPr>
              <w:t xml:space="preserve">Gaļas izstrādājumi (desas, sardeles). Cepta, žāvēta, kūpināta, grilēta gaļa un zivis. </w:t>
            </w:r>
          </w:p>
          <w:p w:rsidR="00AC6FDF" w14:paraId="077238A0" w14:textId="77777777">
            <w:pPr>
              <w:rPr>
                <w:rFonts w:ascii="Times New Roman" w:hAnsi="Times New Roman"/>
                <w:sz w:val="24"/>
                <w:szCs w:val="24"/>
              </w:rPr>
            </w:pPr>
            <w:r>
              <w:rPr>
                <w:rFonts w:ascii="Times New Roman" w:hAnsi="Times New Roman"/>
                <w:sz w:val="24"/>
                <w:szCs w:val="24"/>
              </w:rPr>
              <w:t>Trekna, kūpināta,</w:t>
            </w:r>
            <w:r>
              <w:rPr>
                <w:rFonts w:ascii="Times New Roman" w:hAnsi="Times New Roman"/>
                <w:sz w:val="24"/>
                <w:szCs w:val="24"/>
              </w:rPr>
              <w:t xml:space="preserve"> pikanta, sīksta, stipri sacepta gaļa,   speķis, putnu gaļas āda,                    gaļas konservi, aknas.</w:t>
            </w:r>
          </w:p>
          <w:p w:rsidR="00AC6FDF" w14:paraId="43F30168" w14:textId="77777777">
            <w:pPr>
              <w:rPr>
                <w:rFonts w:ascii="Times New Roman" w:hAnsi="Times New Roman"/>
                <w:sz w:val="24"/>
                <w:szCs w:val="24"/>
              </w:rPr>
            </w:pPr>
            <w:r>
              <w:rPr>
                <w:rFonts w:ascii="Times New Roman" w:hAnsi="Times New Roman"/>
                <w:sz w:val="24"/>
                <w:szCs w:val="24"/>
              </w:rPr>
              <w:t>Treknas zivis (zuši, lasis, siļķe),   jūras veltas (garneles u.c.).</w:t>
            </w:r>
          </w:p>
        </w:tc>
      </w:tr>
      <w:tr w14:paraId="4FC299D0" w14:textId="77777777">
        <w:tblPrEx>
          <w:tblW w:w="0" w:type="auto"/>
          <w:tblLook w:val="04A0"/>
        </w:tblPrEx>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FDF" w14:paraId="2B457AEA" w14:textId="77777777">
            <w:pPr>
              <w:rPr>
                <w:rFonts w:ascii="Times New Roman" w:hAnsi="Times New Roman"/>
                <w:b/>
                <w:bCs/>
                <w:sz w:val="24"/>
                <w:szCs w:val="24"/>
              </w:rPr>
            </w:pPr>
            <w:r>
              <w:rPr>
                <w:rFonts w:ascii="Times New Roman" w:hAnsi="Times New Roman"/>
                <w:b/>
                <w:bCs/>
                <w:sz w:val="24"/>
                <w:szCs w:val="24"/>
              </w:rPr>
              <w:t>Piena produkti</w:t>
            </w:r>
          </w:p>
        </w:tc>
        <w:tc>
          <w:tcPr>
            <w:tcW w:w="2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FDF" w14:paraId="23891C41" w14:textId="77777777">
            <w:pPr>
              <w:rPr>
                <w:rFonts w:ascii="Times New Roman" w:hAnsi="Times New Roman"/>
                <w:sz w:val="24"/>
                <w:szCs w:val="24"/>
              </w:rPr>
            </w:pPr>
            <w:r>
              <w:rPr>
                <w:rFonts w:ascii="Times New Roman" w:hAnsi="Times New Roman"/>
                <w:sz w:val="24"/>
                <w:szCs w:val="24"/>
              </w:rPr>
              <w:t>Piena produkti ar pazeminātu tauku saturu – piens, kefīrs, jogur</w:t>
            </w:r>
            <w:r>
              <w:rPr>
                <w:rFonts w:ascii="Times New Roman" w:hAnsi="Times New Roman"/>
                <w:sz w:val="24"/>
                <w:szCs w:val="24"/>
              </w:rPr>
              <w:t>ts, biezpiens, paniņas, svaigais siers</w:t>
            </w:r>
          </w:p>
        </w:tc>
        <w:tc>
          <w:tcPr>
            <w:tcW w:w="3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FDF" w14:paraId="5E0DBAC2" w14:textId="77777777">
            <w:pPr>
              <w:rPr>
                <w:rFonts w:ascii="Times New Roman" w:hAnsi="Times New Roman"/>
                <w:sz w:val="24"/>
                <w:szCs w:val="24"/>
              </w:rPr>
            </w:pPr>
            <w:r>
              <w:rPr>
                <w:rFonts w:ascii="Times New Roman" w:hAnsi="Times New Roman"/>
                <w:sz w:val="24"/>
                <w:szCs w:val="24"/>
              </w:rPr>
              <w:t>Jogurts, kas satur sēklas, riekstus, pilnpiens, pilnpiena kefīrs, biezpiens, skābais krējums (tauku saturs&gt;20%),cietie un pikantie sieri (tauku saturs sausnā &gt;45%), glazētie biezpiena sieriņi,  sieri ar pelējumu.</w:t>
            </w:r>
          </w:p>
        </w:tc>
      </w:tr>
      <w:tr w14:paraId="3FD92C9A" w14:textId="77777777">
        <w:tblPrEx>
          <w:tblW w:w="0" w:type="auto"/>
          <w:tblLook w:val="04A0"/>
        </w:tblPrEx>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FDF" w14:paraId="7793ABA2" w14:textId="77777777">
            <w:pPr>
              <w:rPr>
                <w:rFonts w:ascii="Times New Roman" w:hAnsi="Times New Roman"/>
                <w:b/>
                <w:bCs/>
                <w:sz w:val="24"/>
                <w:szCs w:val="24"/>
              </w:rPr>
            </w:pPr>
            <w:r>
              <w:rPr>
                <w:rFonts w:ascii="Times New Roman" w:hAnsi="Times New Roman"/>
                <w:b/>
                <w:bCs/>
                <w:sz w:val="24"/>
                <w:szCs w:val="24"/>
              </w:rPr>
              <w:t>Sal</w:t>
            </w:r>
            <w:r>
              <w:rPr>
                <w:rFonts w:ascii="Times New Roman" w:hAnsi="Times New Roman"/>
                <w:b/>
                <w:bCs/>
                <w:sz w:val="24"/>
                <w:szCs w:val="24"/>
              </w:rPr>
              <w:t>dumi</w:t>
            </w:r>
          </w:p>
        </w:tc>
        <w:tc>
          <w:tcPr>
            <w:tcW w:w="2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FDF" w14:paraId="772C5558" w14:textId="77777777">
            <w:pPr>
              <w:rPr>
                <w:rFonts w:ascii="Times New Roman" w:hAnsi="Times New Roman"/>
                <w:sz w:val="24"/>
                <w:szCs w:val="24"/>
              </w:rPr>
            </w:pPr>
            <w:r>
              <w:rPr>
                <w:rFonts w:ascii="Times New Roman" w:hAnsi="Times New Roman"/>
                <w:sz w:val="24"/>
                <w:szCs w:val="24"/>
              </w:rPr>
              <w:t>Saldējums, krēmi, pudiņi, medus, džemi bez kauliņiem un sēklām, želejas, divas tējkarotes viendabīga zemesriekstu sviesta (vienā ēdienreizē).</w:t>
            </w:r>
          </w:p>
        </w:tc>
        <w:tc>
          <w:tcPr>
            <w:tcW w:w="3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FDF" w14:paraId="7AD2F598" w14:textId="77777777">
            <w:pPr>
              <w:rPr>
                <w:rFonts w:ascii="Times New Roman" w:hAnsi="Times New Roman"/>
                <w:sz w:val="24"/>
                <w:szCs w:val="24"/>
              </w:rPr>
            </w:pPr>
            <w:r>
              <w:rPr>
                <w:rFonts w:ascii="Times New Roman" w:hAnsi="Times New Roman"/>
                <w:sz w:val="24"/>
                <w:szCs w:val="24"/>
              </w:rPr>
              <w:t>Deserti, kas satur riekstus, sēklas, žāvētus augļus, sukādes, šerbets, halva.</w:t>
            </w:r>
          </w:p>
          <w:p w:rsidR="00AC6FDF" w14:paraId="0A24C654" w14:textId="77777777">
            <w:pPr>
              <w:rPr>
                <w:rFonts w:ascii="Times New Roman" w:hAnsi="Times New Roman"/>
                <w:sz w:val="24"/>
                <w:szCs w:val="24"/>
              </w:rPr>
            </w:pPr>
            <w:r>
              <w:rPr>
                <w:rFonts w:ascii="Times New Roman" w:hAnsi="Times New Roman"/>
                <w:sz w:val="24"/>
                <w:szCs w:val="24"/>
              </w:rPr>
              <w:t>Trekni saldie ēdieni.</w:t>
            </w:r>
          </w:p>
        </w:tc>
      </w:tr>
      <w:tr w14:paraId="057256FB" w14:textId="77777777">
        <w:tblPrEx>
          <w:tblW w:w="0" w:type="auto"/>
          <w:tblLook w:val="04A0"/>
        </w:tblPrEx>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FDF" w14:paraId="0990F09B" w14:textId="77777777">
            <w:pPr>
              <w:rPr>
                <w:rFonts w:ascii="Times New Roman" w:hAnsi="Times New Roman"/>
                <w:b/>
                <w:bCs/>
                <w:sz w:val="24"/>
                <w:szCs w:val="24"/>
              </w:rPr>
            </w:pPr>
            <w:r>
              <w:rPr>
                <w:rFonts w:ascii="Times New Roman" w:hAnsi="Times New Roman"/>
                <w:b/>
                <w:bCs/>
                <w:sz w:val="24"/>
                <w:szCs w:val="24"/>
              </w:rPr>
              <w:t>Taukvielas</w:t>
            </w:r>
          </w:p>
        </w:tc>
        <w:tc>
          <w:tcPr>
            <w:tcW w:w="2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FDF" w14:paraId="186B29ED" w14:textId="77777777">
            <w:pPr>
              <w:rPr>
                <w:rFonts w:ascii="Times New Roman" w:hAnsi="Times New Roman"/>
                <w:sz w:val="24"/>
                <w:szCs w:val="24"/>
              </w:rPr>
            </w:pPr>
            <w:r>
              <w:rPr>
                <w:rFonts w:ascii="Times New Roman" w:hAnsi="Times New Roman"/>
                <w:sz w:val="24"/>
                <w:szCs w:val="24"/>
              </w:rPr>
              <w:t>Augu eļļas, sviests, krējums, majonēze – nelielā daudzumā (dažas tējkarotes ēdienreizē).</w:t>
            </w:r>
          </w:p>
        </w:tc>
        <w:tc>
          <w:tcPr>
            <w:tcW w:w="3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FDF" w14:paraId="623424BD" w14:textId="77777777">
            <w:pPr>
              <w:rPr>
                <w:rFonts w:ascii="Times New Roman" w:hAnsi="Times New Roman"/>
                <w:sz w:val="24"/>
                <w:szCs w:val="24"/>
              </w:rPr>
            </w:pPr>
            <w:r>
              <w:rPr>
                <w:rFonts w:ascii="Times New Roman" w:hAnsi="Times New Roman"/>
                <w:sz w:val="24"/>
                <w:szCs w:val="24"/>
              </w:rPr>
              <w:t>Augu eļļas, sviests, dzīvnieku tauki – lielos daudzumos.</w:t>
            </w:r>
          </w:p>
        </w:tc>
      </w:tr>
      <w:tr w14:paraId="1F0AD9E6" w14:textId="77777777">
        <w:tblPrEx>
          <w:tblW w:w="0" w:type="auto"/>
          <w:tblLook w:val="04A0"/>
        </w:tblPrEx>
        <w:tc>
          <w:tcPr>
            <w:tcW w:w="23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FDF" w14:paraId="0E7F9961" w14:textId="77777777">
            <w:pPr>
              <w:rPr>
                <w:rFonts w:ascii="Times New Roman" w:hAnsi="Times New Roman"/>
                <w:b/>
                <w:bCs/>
                <w:sz w:val="24"/>
                <w:szCs w:val="24"/>
              </w:rPr>
            </w:pPr>
            <w:r>
              <w:rPr>
                <w:rFonts w:ascii="Times New Roman" w:hAnsi="Times New Roman"/>
                <w:b/>
                <w:bCs/>
                <w:sz w:val="24"/>
                <w:szCs w:val="24"/>
              </w:rPr>
              <w:t>Garšvielas</w:t>
            </w:r>
          </w:p>
        </w:tc>
        <w:tc>
          <w:tcPr>
            <w:tcW w:w="2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FDF" w14:paraId="502BC892" w14:textId="77777777">
            <w:pPr>
              <w:rPr>
                <w:rFonts w:ascii="Times New Roman" w:hAnsi="Times New Roman"/>
                <w:sz w:val="24"/>
                <w:szCs w:val="24"/>
              </w:rPr>
            </w:pPr>
            <w:r>
              <w:rPr>
                <w:rFonts w:ascii="Times New Roman" w:hAnsi="Times New Roman"/>
                <w:sz w:val="24"/>
                <w:szCs w:val="24"/>
              </w:rPr>
              <w:t>Pārējās garšvielas, “maigas” salātu mērces.</w:t>
            </w:r>
          </w:p>
        </w:tc>
        <w:tc>
          <w:tcPr>
            <w:tcW w:w="3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6FDF" w14:paraId="3ABA7AEE" w14:textId="77777777">
            <w:pPr>
              <w:rPr>
                <w:rFonts w:ascii="Times New Roman" w:hAnsi="Times New Roman"/>
                <w:sz w:val="24"/>
                <w:szCs w:val="24"/>
              </w:rPr>
            </w:pPr>
            <w:r>
              <w:rPr>
                <w:rFonts w:ascii="Times New Roman" w:hAnsi="Times New Roman"/>
                <w:sz w:val="24"/>
                <w:szCs w:val="24"/>
              </w:rPr>
              <w:t xml:space="preserve">Asas garšvielas, mārrutki, čili, </w:t>
            </w:r>
            <w:r>
              <w:rPr>
                <w:rFonts w:ascii="Times New Roman" w:hAnsi="Times New Roman"/>
                <w:sz w:val="24"/>
                <w:szCs w:val="24"/>
              </w:rPr>
              <w:t>graudu pipari, anīsa sēklas, rozmarīns, ķimenes, svaigus garšaugus.</w:t>
            </w:r>
          </w:p>
        </w:tc>
      </w:tr>
      <w:tr w14:paraId="3AB18025" w14:textId="77777777">
        <w:tblPrEx>
          <w:tblW w:w="0" w:type="auto"/>
          <w:tblLook w:val="04A0"/>
        </w:tblPrEx>
        <w:tc>
          <w:tcPr>
            <w:tcW w:w="2301" w:type="dxa"/>
            <w:tcBorders>
              <w:top w:val="single" w:sz="4" w:space="0" w:color="000000" w:themeColor="text1"/>
              <w:left w:val="single" w:sz="4" w:space="0" w:color="000000" w:themeColor="text1"/>
              <w:bottom w:val="single" w:sz="4" w:space="0" w:color="auto"/>
              <w:right w:val="single" w:sz="4" w:space="0" w:color="000000" w:themeColor="text1"/>
            </w:tcBorders>
          </w:tcPr>
          <w:p w:rsidR="00AC6FDF" w14:paraId="7E56136F" w14:textId="77777777">
            <w:pPr>
              <w:rPr>
                <w:rFonts w:ascii="Times New Roman" w:hAnsi="Times New Roman"/>
                <w:b/>
                <w:bCs/>
                <w:sz w:val="24"/>
                <w:szCs w:val="24"/>
              </w:rPr>
            </w:pPr>
            <w:r>
              <w:rPr>
                <w:rFonts w:ascii="Times New Roman" w:hAnsi="Times New Roman"/>
                <w:b/>
                <w:bCs/>
                <w:sz w:val="24"/>
                <w:szCs w:val="24"/>
              </w:rPr>
              <w:t>Citi</w:t>
            </w:r>
          </w:p>
        </w:tc>
        <w:tc>
          <w:tcPr>
            <w:tcW w:w="2755" w:type="dxa"/>
            <w:tcBorders>
              <w:top w:val="single" w:sz="4" w:space="0" w:color="000000" w:themeColor="text1"/>
              <w:left w:val="single" w:sz="4" w:space="0" w:color="000000" w:themeColor="text1"/>
              <w:bottom w:val="single" w:sz="4" w:space="0" w:color="auto"/>
              <w:right w:val="single" w:sz="4" w:space="0" w:color="000000" w:themeColor="text1"/>
            </w:tcBorders>
          </w:tcPr>
          <w:p w:rsidR="00AC6FDF" w14:paraId="47348315" w14:textId="77777777">
            <w:pPr>
              <w:rPr>
                <w:rFonts w:ascii="Times New Roman" w:hAnsi="Times New Roman"/>
                <w:sz w:val="24"/>
                <w:szCs w:val="24"/>
              </w:rPr>
            </w:pPr>
          </w:p>
        </w:tc>
        <w:tc>
          <w:tcPr>
            <w:tcW w:w="3466" w:type="dxa"/>
            <w:tcBorders>
              <w:top w:val="single" w:sz="4" w:space="0" w:color="000000" w:themeColor="text1"/>
              <w:left w:val="single" w:sz="4" w:space="0" w:color="000000" w:themeColor="text1"/>
              <w:bottom w:val="single" w:sz="4" w:space="0" w:color="auto"/>
              <w:right w:val="single" w:sz="4" w:space="0" w:color="000000" w:themeColor="text1"/>
            </w:tcBorders>
          </w:tcPr>
          <w:p w:rsidR="00AC6FDF" w14:paraId="44959CE9" w14:textId="77777777">
            <w:pPr>
              <w:rPr>
                <w:rFonts w:ascii="Times New Roman" w:hAnsi="Times New Roman"/>
                <w:sz w:val="24"/>
                <w:szCs w:val="24"/>
              </w:rPr>
            </w:pPr>
            <w:r>
              <w:rPr>
                <w:rFonts w:ascii="Times New Roman" w:hAnsi="Times New Roman"/>
                <w:sz w:val="24"/>
                <w:szCs w:val="24"/>
              </w:rPr>
              <w:t>Sēnes. Ļoti trekni ēdieni. Pikanti pārtikas produkti.</w:t>
            </w:r>
          </w:p>
        </w:tc>
      </w:tr>
      <w:tr w14:paraId="4642DC0D" w14:textId="77777777">
        <w:tblPrEx>
          <w:tblW w:w="0" w:type="auto"/>
          <w:tblLook w:val="04A0"/>
        </w:tblPrEx>
        <w:tc>
          <w:tcPr>
            <w:tcW w:w="2301" w:type="dxa"/>
            <w:tcBorders>
              <w:top w:val="single" w:sz="4" w:space="0" w:color="auto"/>
              <w:left w:val="nil"/>
              <w:bottom w:val="nil"/>
              <w:right w:val="nil"/>
            </w:tcBorders>
          </w:tcPr>
          <w:p w:rsidR="00AC6FDF" w14:paraId="468DDBB1" w14:textId="77777777">
            <w:pPr>
              <w:rPr>
                <w:rFonts w:ascii="Times New Roman" w:hAnsi="Times New Roman"/>
                <w:b/>
                <w:bCs/>
                <w:sz w:val="24"/>
                <w:szCs w:val="24"/>
              </w:rPr>
            </w:pPr>
          </w:p>
        </w:tc>
        <w:tc>
          <w:tcPr>
            <w:tcW w:w="2755" w:type="dxa"/>
            <w:tcBorders>
              <w:top w:val="single" w:sz="4" w:space="0" w:color="auto"/>
              <w:left w:val="nil"/>
              <w:bottom w:val="nil"/>
              <w:right w:val="nil"/>
            </w:tcBorders>
          </w:tcPr>
          <w:p w:rsidR="00AC6FDF" w14:paraId="4B31DD62" w14:textId="77777777">
            <w:pPr>
              <w:rPr>
                <w:rFonts w:ascii="Times New Roman" w:hAnsi="Times New Roman"/>
                <w:sz w:val="24"/>
                <w:szCs w:val="24"/>
              </w:rPr>
            </w:pPr>
          </w:p>
        </w:tc>
        <w:tc>
          <w:tcPr>
            <w:tcW w:w="3466" w:type="dxa"/>
            <w:tcBorders>
              <w:top w:val="single" w:sz="4" w:space="0" w:color="auto"/>
              <w:left w:val="nil"/>
              <w:bottom w:val="nil"/>
              <w:right w:val="nil"/>
            </w:tcBorders>
          </w:tcPr>
          <w:p w:rsidR="00AC6FDF" w14:paraId="5306C866" w14:textId="77777777">
            <w:pPr>
              <w:rPr>
                <w:rFonts w:ascii="Times New Roman" w:hAnsi="Times New Roman"/>
                <w:sz w:val="24"/>
                <w:szCs w:val="24"/>
              </w:rPr>
            </w:pPr>
          </w:p>
        </w:tc>
      </w:tr>
      <w:tr w14:paraId="258ED904" w14:textId="77777777">
        <w:tblPrEx>
          <w:tblW w:w="0" w:type="auto"/>
          <w:tblLook w:val="04A0"/>
        </w:tblPrEx>
        <w:tc>
          <w:tcPr>
            <w:tcW w:w="8522" w:type="dxa"/>
            <w:gridSpan w:val="3"/>
            <w:tcBorders>
              <w:top w:val="nil"/>
              <w:tl2br w:val="nil"/>
              <w:tr2bl w:val="nil"/>
            </w:tcBorders>
          </w:tcPr>
          <w:p w:rsidR="00AC6FDF" w14:paraId="0E00C740" w14:textId="77777777">
            <w:pPr>
              <w:rPr>
                <w:rFonts w:ascii="Times New Roman" w:hAnsi="Times New Roman"/>
                <w:sz w:val="24"/>
                <w:szCs w:val="24"/>
              </w:rPr>
            </w:pPr>
            <w:r>
              <w:rPr>
                <w:rFonts w:ascii="Times New Roman" w:hAnsi="Times New Roman"/>
                <w:sz w:val="24"/>
                <w:szCs w:val="24"/>
              </w:rPr>
              <w:t>Aizkuņģa dziedzer</w:t>
            </w:r>
            <w:r>
              <w:rPr>
                <w:rFonts w:ascii="Times New Roman" w:hAnsi="Times New Roman"/>
                <w:sz w:val="24"/>
                <w:szCs w:val="24"/>
              </w:rPr>
              <w:t>a</w:t>
            </w:r>
            <w:r>
              <w:rPr>
                <w:rFonts w:ascii="Times New Roman" w:hAnsi="Times New Roman"/>
                <w:sz w:val="24"/>
                <w:szCs w:val="24"/>
              </w:rPr>
              <w:t xml:space="preserve"> slimību gadījumā citi uztura ierobežojumi var pasliktināt </w:t>
            </w:r>
            <w:r>
              <w:rPr>
                <w:rFonts w:ascii="Times New Roman" w:hAnsi="Times New Roman"/>
                <w:sz w:val="24"/>
                <w:szCs w:val="24"/>
              </w:rPr>
              <w:t xml:space="preserve">veselības stāvokli un slimības gaitu. </w:t>
            </w:r>
            <w:r>
              <w:rPr>
                <w:rFonts w:ascii="Times New Roman" w:hAnsi="Times New Roman"/>
                <w:b/>
                <w:bCs/>
                <w:sz w:val="24"/>
                <w:szCs w:val="24"/>
                <w:u w:val="single"/>
              </w:rPr>
              <w:t>Tauku daudzums uzturā nav jāmazina! Tauku daudzumam uzturā</w:t>
            </w:r>
            <w:r>
              <w:rPr>
                <w:rFonts w:ascii="Times New Roman" w:hAnsi="Times New Roman"/>
                <w:b/>
                <w:bCs/>
                <w:sz w:val="24"/>
                <w:szCs w:val="24"/>
              </w:rPr>
              <w:t xml:space="preserve">  jābūt saskaņā ar veselīga uztura rekomendācijām.</w:t>
            </w:r>
            <w:r>
              <w:rPr>
                <w:rFonts w:ascii="Times New Roman" w:hAnsi="Times New Roman"/>
                <w:sz w:val="24"/>
                <w:szCs w:val="24"/>
              </w:rPr>
              <w:t xml:space="preserve">  Tauku daudzuma samazināšana uzturā var veicināt u</w:t>
            </w:r>
            <w:r>
              <w:rPr>
                <w:rFonts w:ascii="Times New Roman" w:hAnsi="Times New Roman"/>
                <w:sz w:val="24"/>
                <w:szCs w:val="24"/>
              </w:rPr>
              <w:t xml:space="preserve">zturvielu deficītu un svara zudumu. Tauku daudzums jāierobežo tikai gadījumā, ja neizdodas kontrolēt ļoti izteiktu taukainu caureju. </w:t>
            </w:r>
          </w:p>
          <w:p w:rsidR="00AC6FDF" w14:paraId="4EE8A4A3" w14:textId="77777777">
            <w:pPr>
              <w:rPr>
                <w:rFonts w:ascii="Times New Roman" w:hAnsi="Times New Roman"/>
                <w:iCs/>
                <w:sz w:val="24"/>
                <w:szCs w:val="24"/>
              </w:rPr>
            </w:pPr>
            <w:r>
              <w:rPr>
                <w:rFonts w:ascii="Times New Roman" w:hAnsi="Times New Roman"/>
                <w:iCs/>
                <w:sz w:val="24"/>
                <w:szCs w:val="24"/>
              </w:rPr>
              <w:t xml:space="preserve">Ja ir  novērojams  svara zudums, īpaša uzmanība jāpievērš pilnvērtīgam uzturam, jāpalielina kopējā ar uzturu uzņemtā enerģētiskā vērtība. Maltītes jāietur bieži (5-6 reizes dienā), kā arī jāpalielina olbaltumvielu saturošu produktu daudzums uzturā. </w:t>
            </w:r>
          </w:p>
          <w:p w:rsidR="00AC6FDF" w14:paraId="4E00D881" w14:textId="77777777">
            <w:pPr>
              <w:rPr>
                <w:rFonts w:ascii="Times New Roman" w:hAnsi="Times New Roman"/>
                <w:bCs/>
                <w:iCs/>
                <w:sz w:val="24"/>
                <w:szCs w:val="24"/>
              </w:rPr>
            </w:pPr>
            <w:r>
              <w:rPr>
                <w:rFonts w:ascii="Times New Roman" w:hAnsi="Times New Roman"/>
                <w:iCs/>
                <w:sz w:val="24"/>
                <w:szCs w:val="24"/>
              </w:rPr>
              <w:t>Pietie</w:t>
            </w:r>
            <w:r>
              <w:rPr>
                <w:rFonts w:ascii="Times New Roman" w:hAnsi="Times New Roman"/>
                <w:iCs/>
                <w:sz w:val="24"/>
                <w:szCs w:val="24"/>
              </w:rPr>
              <w:t xml:space="preserve">kams olbaltumvielu daudzums uzturā nodrošina muskuļu masas un imunitātes saglabāšanu. </w:t>
            </w:r>
          </w:p>
          <w:p w:rsidR="00AC6FDF" w14:paraId="117EBE28" w14:textId="77777777">
            <w:pPr>
              <w:rPr>
                <w:rFonts w:ascii="Times New Roman" w:hAnsi="Times New Roman"/>
                <w:iCs/>
                <w:sz w:val="24"/>
                <w:szCs w:val="24"/>
              </w:rPr>
            </w:pPr>
            <w:r>
              <w:rPr>
                <w:rFonts w:ascii="Times New Roman" w:hAnsi="Times New Roman"/>
                <w:iCs/>
                <w:sz w:val="24"/>
                <w:szCs w:val="24"/>
              </w:rPr>
              <w:t xml:space="preserve">Daudz </w:t>
            </w:r>
            <w:r>
              <w:rPr>
                <w:rFonts w:ascii="Times New Roman" w:hAnsi="Times New Roman"/>
                <w:b/>
                <w:bCs/>
                <w:iCs/>
                <w:sz w:val="24"/>
                <w:szCs w:val="24"/>
              </w:rPr>
              <w:t>olbaltumvielu</w:t>
            </w:r>
            <w:r>
              <w:rPr>
                <w:rFonts w:ascii="Times New Roman" w:hAnsi="Times New Roman"/>
                <w:iCs/>
                <w:sz w:val="24"/>
                <w:szCs w:val="24"/>
              </w:rPr>
              <w:t xml:space="preserve"> satur, piemēram, zivis, gaļa, piena produkti un olas. Ikdienā ir jāuzņem vidēji 70 - 90 g olbaltumvielu dienā, taču katram ir savs nepieciešamais olb</w:t>
            </w:r>
            <w:r>
              <w:rPr>
                <w:rFonts w:ascii="Times New Roman" w:hAnsi="Times New Roman"/>
                <w:iCs/>
                <w:sz w:val="24"/>
                <w:szCs w:val="24"/>
              </w:rPr>
              <w:t xml:space="preserve">altumvielu daudzums, ko  aprēķina individuāli.  Olbaltumvielas vēlams uzņemt katrā ēdienreizē. </w:t>
            </w:r>
          </w:p>
          <w:p w:rsidR="00AC6FDF" w14:paraId="4651D095" w14:textId="77777777">
            <w:pPr>
              <w:rPr>
                <w:rFonts w:ascii="Times New Roman" w:hAnsi="Times New Roman"/>
                <w:iCs/>
                <w:sz w:val="24"/>
                <w:szCs w:val="24"/>
              </w:rPr>
            </w:pPr>
            <w:r>
              <w:rPr>
                <w:rFonts w:ascii="Times New Roman" w:hAnsi="Times New Roman"/>
                <w:iCs/>
                <w:sz w:val="24"/>
                <w:szCs w:val="24"/>
              </w:rPr>
              <w:t>Piemēri olbaltumvielu daudzumam porcijā:</w:t>
            </w:r>
          </w:p>
          <w:p w:rsidR="00AC6FDF" w14:paraId="4BBBCBFB" w14:textId="77777777">
            <w:pPr>
              <w:numPr>
                <w:ilvl w:val="0"/>
                <w:numId w:val="2"/>
              </w:numPr>
              <w:rPr>
                <w:rFonts w:ascii="Times New Roman" w:hAnsi="Times New Roman"/>
                <w:iCs/>
                <w:sz w:val="24"/>
                <w:szCs w:val="24"/>
              </w:rPr>
            </w:pPr>
            <w:r>
              <w:rPr>
                <w:rFonts w:ascii="Times New Roman" w:hAnsi="Times New Roman"/>
                <w:iCs/>
                <w:sz w:val="24"/>
                <w:szCs w:val="24"/>
              </w:rPr>
              <w:t>100g pagatavotas gaļas satur 30 – 35g olbaltumvielu (Ieteicams dot priekšroku putnu gaļas filejai);</w:t>
            </w:r>
          </w:p>
          <w:p w:rsidR="00AC6FDF" w14:paraId="7E8D2C94" w14:textId="77777777">
            <w:pPr>
              <w:numPr>
                <w:ilvl w:val="0"/>
                <w:numId w:val="2"/>
              </w:numPr>
              <w:rPr>
                <w:rFonts w:ascii="Times New Roman" w:hAnsi="Times New Roman"/>
                <w:iCs/>
                <w:sz w:val="24"/>
                <w:szCs w:val="24"/>
              </w:rPr>
            </w:pPr>
            <w:r>
              <w:rPr>
                <w:rFonts w:ascii="Times New Roman" w:hAnsi="Times New Roman"/>
                <w:iCs/>
                <w:sz w:val="24"/>
                <w:szCs w:val="24"/>
              </w:rPr>
              <w:t>120g pagatavotas zi</w:t>
            </w:r>
            <w:r>
              <w:rPr>
                <w:rFonts w:ascii="Times New Roman" w:hAnsi="Times New Roman"/>
                <w:iCs/>
                <w:sz w:val="24"/>
                <w:szCs w:val="24"/>
              </w:rPr>
              <w:t>vs satur 25 – 30g olbaltumvielu;</w:t>
            </w:r>
          </w:p>
          <w:p w:rsidR="00AC6FDF" w14:paraId="08F42626" w14:textId="77777777">
            <w:pPr>
              <w:numPr>
                <w:ilvl w:val="0"/>
                <w:numId w:val="2"/>
              </w:numPr>
              <w:rPr>
                <w:rFonts w:ascii="Times New Roman" w:hAnsi="Times New Roman"/>
                <w:iCs/>
                <w:sz w:val="24"/>
                <w:szCs w:val="24"/>
              </w:rPr>
            </w:pPr>
            <w:r>
              <w:rPr>
                <w:rFonts w:ascii="Times New Roman" w:hAnsi="Times New Roman"/>
                <w:iCs/>
                <w:sz w:val="24"/>
                <w:szCs w:val="24"/>
              </w:rPr>
              <w:t>100g vājpiena biezpiens satur 16-18g olbaltumvielu;</w:t>
            </w:r>
          </w:p>
          <w:p w:rsidR="00AC6FDF" w14:paraId="1968475D" w14:textId="77777777">
            <w:pPr>
              <w:numPr>
                <w:ilvl w:val="0"/>
                <w:numId w:val="2"/>
              </w:numPr>
              <w:rPr>
                <w:rFonts w:ascii="Times New Roman" w:hAnsi="Times New Roman"/>
                <w:iCs/>
                <w:sz w:val="24"/>
                <w:szCs w:val="24"/>
              </w:rPr>
            </w:pPr>
            <w:r>
              <w:rPr>
                <w:rFonts w:ascii="Times New Roman" w:hAnsi="Times New Roman"/>
                <w:iCs/>
                <w:sz w:val="24"/>
                <w:szCs w:val="24"/>
              </w:rPr>
              <w:t>1 ola satur 6 g olbaltumvielu;</w:t>
            </w:r>
          </w:p>
          <w:p w:rsidR="00AC6FDF" w14:paraId="5086802B" w14:textId="77777777">
            <w:pPr>
              <w:numPr>
                <w:ilvl w:val="0"/>
                <w:numId w:val="2"/>
              </w:numPr>
              <w:rPr>
                <w:rFonts w:ascii="Times New Roman" w:hAnsi="Times New Roman"/>
                <w:iCs/>
                <w:sz w:val="24"/>
                <w:szCs w:val="24"/>
              </w:rPr>
            </w:pPr>
            <w:r>
              <w:rPr>
                <w:rFonts w:ascii="Times New Roman" w:hAnsi="Times New Roman"/>
                <w:iCs/>
                <w:sz w:val="24"/>
                <w:szCs w:val="24"/>
              </w:rPr>
              <w:t>glāze (250 ml) piena vai skābpiena dzēriena (kefīrs, paniņas, dabīgais bezpiedevu jogurts) satur 8g olbaltumvielu;</w:t>
            </w:r>
          </w:p>
          <w:p w:rsidR="00AC6FDF" w14:paraId="52EFD31A" w14:textId="77777777">
            <w:pPr>
              <w:numPr>
                <w:ilvl w:val="0"/>
                <w:numId w:val="2"/>
              </w:numPr>
              <w:rPr>
                <w:rFonts w:ascii="Times New Roman" w:hAnsi="Times New Roman"/>
                <w:iCs/>
                <w:sz w:val="24"/>
                <w:szCs w:val="24"/>
              </w:rPr>
            </w:pPr>
            <w:r>
              <w:rPr>
                <w:rFonts w:ascii="Times New Roman" w:hAnsi="Times New Roman"/>
                <w:iCs/>
                <w:sz w:val="24"/>
                <w:szCs w:val="24"/>
              </w:rPr>
              <w:t>glāze (250 ml) jogurta ar</w:t>
            </w:r>
            <w:r>
              <w:rPr>
                <w:rFonts w:ascii="Times New Roman" w:hAnsi="Times New Roman"/>
                <w:iCs/>
                <w:sz w:val="24"/>
                <w:szCs w:val="24"/>
              </w:rPr>
              <w:t xml:space="preserve"> palielinātu olbaltumvielu daudzumu (kefīrs, paniņas, dabīgais jogurts) satur 20-22 g olbaltumvielu.</w:t>
            </w:r>
          </w:p>
          <w:p w:rsidR="00AC6FDF" w14:paraId="55827259" w14:textId="77777777">
            <w:pPr>
              <w:rPr>
                <w:rFonts w:ascii="Times New Roman" w:hAnsi="Times New Roman"/>
                <w:sz w:val="24"/>
                <w:szCs w:val="24"/>
              </w:rPr>
            </w:pPr>
            <w:bookmarkStart w:id="2" w:name="_Hlk53066260"/>
            <w:r>
              <w:rPr>
                <w:rFonts w:ascii="Times New Roman" w:hAnsi="Times New Roman"/>
                <w:sz w:val="24"/>
                <w:szCs w:val="24"/>
              </w:rPr>
              <w:t xml:space="preserve">Lai nodrošinātu pilnvērtīga uztura uzņemšanu un samazinātu svara zuduma risku, ārstējošais ārsts var Jums rekomendēt lietot: </w:t>
            </w:r>
          </w:p>
          <w:p w:rsidR="00AC6FDF" w14:paraId="08699B60" w14:textId="77777777">
            <w:pPr>
              <w:pStyle w:val="ListParagraph"/>
              <w:numPr>
                <w:ilvl w:val="0"/>
                <w:numId w:val="3"/>
              </w:numPr>
              <w:rPr>
                <w:rFonts w:ascii="Times New Roman" w:hAnsi="Times New Roman"/>
                <w:sz w:val="24"/>
                <w:szCs w:val="24"/>
              </w:rPr>
            </w:pPr>
            <w:r>
              <w:rPr>
                <w:rFonts w:ascii="Times New Roman" w:hAnsi="Times New Roman"/>
                <w:sz w:val="24"/>
                <w:szCs w:val="24"/>
              </w:rPr>
              <w:t xml:space="preserve">Speciālo medicīnisko papilduzturu - rūpnieciski ražotos maisījumus, kas satur galvenās nepieciešamās uzturvielas – daudz olbaltumvielu, nepieciešamajā daudzumā ogļhidrātus, taukus, kā arī vitamīnus un minerālvielas. </w:t>
            </w:r>
          </w:p>
          <w:bookmarkEnd w:id="2"/>
          <w:p w:rsidR="00AC6FDF" w14:paraId="567A5996" w14:textId="77777777">
            <w:pPr>
              <w:pStyle w:val="ListParagraph"/>
              <w:numPr>
                <w:ilvl w:val="0"/>
                <w:numId w:val="3"/>
              </w:numPr>
              <w:rPr>
                <w:rFonts w:ascii="Times New Roman" w:hAnsi="Times New Roman"/>
                <w:sz w:val="24"/>
                <w:szCs w:val="24"/>
              </w:rPr>
            </w:pPr>
            <w:r>
              <w:rPr>
                <w:rFonts w:ascii="Times New Roman" w:hAnsi="Times New Roman"/>
                <w:sz w:val="24"/>
                <w:szCs w:val="24"/>
              </w:rPr>
              <w:t>Vidējo ķēžu triglicerīdu  (tauki, kas u</w:t>
            </w:r>
            <w:r>
              <w:rPr>
                <w:rFonts w:ascii="Times New Roman" w:hAnsi="Times New Roman"/>
                <w:sz w:val="24"/>
                <w:szCs w:val="24"/>
              </w:rPr>
              <w:t>zsūca vieglāk nekā parastie uztura tauki) preparātus.</w:t>
            </w:r>
          </w:p>
          <w:p w:rsidR="00AC6FDF" w14:paraId="2ECBB3AC" w14:textId="77777777">
            <w:pPr>
              <w:pStyle w:val="ListParagraph"/>
              <w:numPr>
                <w:ilvl w:val="0"/>
                <w:numId w:val="3"/>
              </w:numPr>
              <w:rPr>
                <w:rFonts w:ascii="Times New Roman" w:hAnsi="Times New Roman"/>
                <w:sz w:val="24"/>
                <w:szCs w:val="24"/>
              </w:rPr>
            </w:pPr>
            <w:r>
              <w:rPr>
                <w:rFonts w:ascii="Times New Roman" w:hAnsi="Times New Roman"/>
                <w:sz w:val="24"/>
                <w:szCs w:val="24"/>
              </w:rPr>
              <w:t>Taukos šķīstošo vitamīnu preparātus (A, D, E, K vitamīni).</w:t>
            </w:r>
          </w:p>
          <w:p w:rsidR="00AC6FDF" w14:paraId="57B8A1B4" w14:textId="77777777">
            <w:pPr>
              <w:pStyle w:val="ListParagraph"/>
              <w:numPr>
                <w:ilvl w:val="0"/>
                <w:numId w:val="3"/>
              </w:numPr>
              <w:rPr>
                <w:rFonts w:ascii="Times New Roman" w:hAnsi="Times New Roman"/>
                <w:sz w:val="24"/>
                <w:szCs w:val="24"/>
              </w:rPr>
            </w:pPr>
            <w:r>
              <w:rPr>
                <w:rFonts w:ascii="Times New Roman" w:hAnsi="Times New Roman"/>
                <w:sz w:val="24"/>
                <w:szCs w:val="24"/>
              </w:rPr>
              <w:t>Ūdenī šķīstošos vitamīnus (B12, folskābe, tiamīns).</w:t>
            </w:r>
          </w:p>
          <w:p w:rsidR="00AC6FDF" w14:paraId="61205686" w14:textId="77777777">
            <w:pPr>
              <w:pStyle w:val="ListParagraph"/>
              <w:numPr>
                <w:ilvl w:val="0"/>
                <w:numId w:val="3"/>
              </w:numPr>
              <w:rPr>
                <w:rFonts w:ascii="Times New Roman" w:hAnsi="Times New Roman"/>
                <w:sz w:val="24"/>
                <w:szCs w:val="24"/>
              </w:rPr>
            </w:pPr>
            <w:r>
              <w:rPr>
                <w:rFonts w:ascii="Times New Roman" w:hAnsi="Times New Roman"/>
                <w:sz w:val="24"/>
                <w:szCs w:val="24"/>
              </w:rPr>
              <w:t xml:space="preserve">Minerālvielas (magnijs, kalcijs, dzelzs, selēns, cinks). </w:t>
            </w:r>
          </w:p>
          <w:p w:rsidR="00AC6FDF" w14:paraId="30A42E3E" w14:textId="77777777">
            <w:pPr>
              <w:rPr>
                <w:rFonts w:ascii="Times New Roman" w:hAnsi="Times New Roman"/>
                <w:sz w:val="24"/>
                <w:szCs w:val="24"/>
              </w:rPr>
            </w:pPr>
            <w:r>
              <w:rPr>
                <w:rFonts w:ascii="Times New Roman" w:hAnsi="Times New Roman"/>
                <w:i/>
                <w:sz w:val="24"/>
                <w:szCs w:val="24"/>
              </w:rPr>
              <w:t xml:space="preserve">Vairāk informācijas par veselīgu </w:t>
            </w:r>
            <w:r>
              <w:rPr>
                <w:rFonts w:ascii="Times New Roman" w:hAnsi="Times New Roman"/>
                <w:i/>
                <w:sz w:val="24"/>
                <w:szCs w:val="24"/>
              </w:rPr>
              <w:t xml:space="preserve">uzturu meklējiet Veselības ministrijas mājaslapā: </w:t>
            </w:r>
            <w:hyperlink r:id="rId8" w:history="1">
              <w:r>
                <w:rPr>
                  <w:rStyle w:val="Hyperlink"/>
                  <w:rFonts w:ascii="Times New Roman" w:hAnsi="Times New Roman"/>
                  <w:i/>
                  <w:sz w:val="24"/>
                  <w:szCs w:val="24"/>
                </w:rPr>
                <w:t>http://www.vm.gov.lv/lv/tava_veseliba/veseligs_uzturs/</w:t>
              </w:r>
            </w:hyperlink>
          </w:p>
        </w:tc>
      </w:tr>
      <w:tr w14:paraId="45A436DD" w14:textId="77777777">
        <w:tblPrEx>
          <w:tblW w:w="0" w:type="auto"/>
          <w:tblLook w:val="04A0"/>
        </w:tblPrEx>
        <w:tc>
          <w:tcPr>
            <w:tcW w:w="8522" w:type="dxa"/>
            <w:gridSpan w:val="3"/>
            <w:tcBorders>
              <w:top w:val="nil"/>
              <w:tl2br w:val="nil"/>
              <w:tr2bl w:val="nil"/>
            </w:tcBorders>
          </w:tcPr>
          <w:p w:rsidR="00AC6FDF" w14:paraId="742835C8" w14:textId="77777777">
            <w:pPr>
              <w:spacing w:line="276" w:lineRule="auto"/>
              <w:rPr>
                <w:rFonts w:ascii="Times New Roman" w:hAnsi="Times New Roman"/>
                <w:b/>
                <w:bCs/>
                <w:color w:val="000000" w:themeColor="text1"/>
                <w:sz w:val="24"/>
                <w:szCs w:val="24"/>
              </w:rPr>
            </w:pPr>
          </w:p>
        </w:tc>
      </w:tr>
      <w:tr w14:paraId="5259B8D3" w14:textId="77777777">
        <w:tblPrEx>
          <w:tblW w:w="0" w:type="auto"/>
          <w:tblLook w:val="04A0"/>
        </w:tblPrEx>
        <w:tc>
          <w:tcPr>
            <w:tcW w:w="8522" w:type="dxa"/>
            <w:gridSpan w:val="3"/>
            <w:tcBorders>
              <w:tl2br w:val="nil"/>
              <w:tr2bl w:val="nil"/>
            </w:tcBorders>
          </w:tcPr>
          <w:p w:rsidR="00AC6FDF" w14:paraId="47D983D7" w14:textId="77777777">
            <w:pPr>
              <w:pStyle w:val="ListBullet"/>
              <w:numPr>
                <w:ilvl w:val="0"/>
                <w:numId w:val="0"/>
              </w:numPr>
              <w:rPr>
                <w:rFonts w:ascii="Times New Roman" w:hAnsi="Times New Roman"/>
                <w:bCs/>
                <w:sz w:val="24"/>
                <w:szCs w:val="24"/>
              </w:rPr>
            </w:pPr>
            <w:r>
              <w:rPr>
                <w:rFonts w:ascii="Times New Roman" w:hAnsi="Times New Roman"/>
                <w:bCs/>
                <w:sz w:val="24"/>
                <w:szCs w:val="24"/>
              </w:rPr>
              <w:t xml:space="preserve">Ieteikumi sagatavoti sadarbībā ar Rīgas Stradiņa universitātes asoc. </w:t>
            </w:r>
            <w:r>
              <w:rPr>
                <w:rFonts w:ascii="Times New Roman" w:hAnsi="Times New Roman"/>
                <w:bCs/>
                <w:sz w:val="24"/>
                <w:szCs w:val="24"/>
              </w:rPr>
              <w:t xml:space="preserve">prof., P.Stradiņa </w:t>
            </w:r>
            <w:r>
              <w:rPr>
                <w:rFonts w:ascii="Times New Roman" w:hAnsi="Times New Roman"/>
                <w:bCs/>
                <w:sz w:val="24"/>
                <w:szCs w:val="24"/>
              </w:rPr>
              <w:t>klīniskās universitātes slimnīcas dietoloģi,  Latvijas Uzturzinātnes speciālistu biedrības valdes priekšsēdētāju Dr.Lailu Meiju. Informatīvajā materiālā iekļautā informācija ir saskaņota ar Latvijas Gastroenterologu asociāciju un Latvijas</w:t>
            </w:r>
            <w:r>
              <w:rPr>
                <w:rFonts w:ascii="Times New Roman" w:hAnsi="Times New Roman"/>
                <w:bCs/>
                <w:sz w:val="24"/>
                <w:szCs w:val="24"/>
              </w:rPr>
              <w:t xml:space="preserve"> Ķirurgu asociāciju.</w:t>
            </w:r>
          </w:p>
          <w:p w:rsidR="00AC6FDF" w14:paraId="7EA3BAD9" w14:textId="77777777">
            <w:pPr>
              <w:pStyle w:val="Parasts"/>
              <w:pBdr>
                <w:top w:val="nil"/>
              </w:pBdr>
              <w:spacing w:line="216" w:lineRule="auto"/>
              <w:rPr>
                <w:rFonts w:ascii="Times New Roman" w:hAnsi="Times New Roman"/>
                <w:bCs/>
                <w:i/>
                <w:sz w:val="24"/>
                <w:szCs w:val="24"/>
                <w:lang w:val="en-US"/>
              </w:rPr>
            </w:pPr>
            <w:r>
              <w:rPr>
                <w:rFonts w:ascii="Times New Roman" w:hAnsi="Times New Roman"/>
                <w:bCs/>
                <w:i/>
                <w:sz w:val="24"/>
                <w:szCs w:val="24"/>
                <w:lang w:val="lv-LV"/>
              </w:rPr>
              <w:t xml:space="preserve">Rekomendācijas ir vispārīgas. Katram cilvēkam ir savas individuālās uztura vajadzības, ņemot vērā slimības smagumu, citas slimības, produktu nepanesību, lietotos medikamentus, vecumu, dzimumu, fizisko aktivitāti u.c. faktorus. </w:t>
            </w:r>
            <w:r>
              <w:rPr>
                <w:rFonts w:ascii="Times New Roman" w:hAnsi="Times New Roman"/>
                <w:bCs/>
                <w:i/>
                <w:sz w:val="24"/>
                <w:szCs w:val="24"/>
                <w:lang w:val="en-US"/>
              </w:rPr>
              <w:t>Lai saņe</w:t>
            </w:r>
            <w:r>
              <w:rPr>
                <w:rFonts w:ascii="Times New Roman" w:hAnsi="Times New Roman"/>
                <w:bCs/>
                <w:i/>
                <w:sz w:val="24"/>
                <w:szCs w:val="24"/>
                <w:lang w:val="en-US"/>
              </w:rPr>
              <w:t>mtu individuālas rekomendācijas, konsultējaties ar dietologu vai uztura speciālistu.</w:t>
            </w:r>
          </w:p>
          <w:p w:rsidR="00AC6FDF" w14:paraId="6A441EAD" w14:textId="77777777">
            <w:pPr>
              <w:pStyle w:val="Parasts"/>
              <w:pBdr>
                <w:top w:val="nil"/>
              </w:pBdr>
              <w:spacing w:line="216" w:lineRule="auto"/>
              <w:rPr>
                <w:rFonts w:ascii="Times New Roman" w:hAnsi="Times New Roman"/>
                <w:bCs/>
                <w:i/>
                <w:sz w:val="24"/>
                <w:szCs w:val="24"/>
                <w:lang w:val="en-US"/>
              </w:rPr>
            </w:pPr>
          </w:p>
        </w:tc>
      </w:tr>
      <w:tr w14:paraId="429A1559" w14:textId="77777777">
        <w:tblPrEx>
          <w:tblW w:w="0" w:type="auto"/>
          <w:tblLook w:val="04A0"/>
        </w:tblPrEx>
        <w:tc>
          <w:tcPr>
            <w:tcW w:w="8522" w:type="dxa"/>
            <w:gridSpan w:val="3"/>
            <w:tcBorders>
              <w:tl2br w:val="nil"/>
              <w:tr2bl w:val="nil"/>
            </w:tcBorders>
          </w:tcPr>
          <w:p w:rsidR="00AC6FDF" w14:paraId="571458A8" w14:textId="77777777">
            <w:pPr>
              <w:pBdr>
                <w:top w:val="none" w:sz="0" w:space="0" w:color="auto"/>
                <w:left w:val="none" w:sz="0" w:space="0" w:color="auto"/>
                <w:bottom w:val="none" w:sz="0" w:space="0" w:color="auto"/>
                <w:right w:val="none" w:sz="0" w:space="0" w:color="auto"/>
              </w:pBdr>
              <w:autoSpaceDE w:val="0"/>
              <w:autoSpaceDN w:val="0"/>
              <w:adjustRightInd w:val="0"/>
              <w:spacing w:after="200" w:line="240" w:lineRule="auto"/>
              <w:textAlignment w:val="auto"/>
              <w:rPr>
                <w:rFonts w:ascii="Times New Roman" w:hAnsi="Times New Roman"/>
                <w:sz w:val="24"/>
                <w:szCs w:val="24"/>
              </w:rPr>
            </w:pPr>
            <w:r>
              <w:rPr>
                <w:rFonts w:ascii="Times New Roman" w:hAnsi="Times New Roman"/>
                <w:b/>
                <w:bCs/>
                <w:sz w:val="24"/>
                <w:szCs w:val="24"/>
              </w:rPr>
              <w:t>Izmantotās literatūras avoti:</w:t>
            </w:r>
          </w:p>
        </w:tc>
      </w:tr>
      <w:tr w14:paraId="261E4A83" w14:textId="77777777">
        <w:tblPrEx>
          <w:tblW w:w="0" w:type="auto"/>
          <w:tblLook w:val="04A0"/>
        </w:tblPrEx>
        <w:tc>
          <w:tcPr>
            <w:tcW w:w="8522" w:type="dxa"/>
            <w:gridSpan w:val="3"/>
            <w:tcBorders>
              <w:tl2br w:val="nil"/>
              <w:tr2bl w:val="nil"/>
            </w:tcBorders>
          </w:tcPr>
          <w:p w:rsidR="00AC6FDF" w14:paraId="2C31DBE3" w14:textId="77777777">
            <w:pPr>
              <w:pStyle w:val="ListParagraph"/>
              <w:numPr>
                <w:ilvl w:val="0"/>
                <w:numId w:val="4"/>
              </w:numPr>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Arvanitakis, M., et.al.. (2020). ESPEN guideline on clinical nutrition in acute and chronic pancreatitis. Clinical Nutrition, 39(3), </w:t>
            </w:r>
            <w:r>
              <w:rPr>
                <w:rFonts w:ascii="Times New Roman" w:eastAsia="Times New Roman" w:hAnsi="Times New Roman"/>
                <w:sz w:val="24"/>
                <w:szCs w:val="24"/>
                <w:lang w:eastAsia="en-GB"/>
              </w:rPr>
              <w:t>612-631.1.</w:t>
            </w:r>
          </w:p>
          <w:p w:rsidR="00AC6FDF" w14:paraId="0FCD642A" w14:textId="77777777">
            <w:pPr>
              <w:pStyle w:val="ListParagraph"/>
              <w:numPr>
                <w:ilvl w:val="0"/>
                <w:numId w:val="4"/>
              </w:numPr>
              <w:rPr>
                <w:rFonts w:ascii="Times New Roman" w:eastAsia="Times New Roman" w:hAnsi="Times New Roman"/>
                <w:sz w:val="24"/>
                <w:szCs w:val="24"/>
                <w:lang w:eastAsia="en-GB"/>
              </w:rPr>
            </w:pPr>
            <w:r>
              <w:rPr>
                <w:rFonts w:ascii="Times New Roman" w:hAnsi="Times New Roman"/>
                <w:sz w:val="24"/>
                <w:szCs w:val="24"/>
              </w:rPr>
              <w:t xml:space="preserve">UpToDate. </w:t>
            </w:r>
            <w:hyperlink r:id="rId9" w:history="1">
              <w:r>
                <w:rPr>
                  <w:rFonts w:ascii="Times New Roman" w:eastAsia="Times New Roman" w:hAnsi="Times New Roman"/>
                  <w:color w:val="000000" w:themeColor="text1"/>
                  <w:sz w:val="24"/>
                  <w:szCs w:val="24"/>
                  <w:shd w:val="clear" w:color="auto" w:fill="FFFFFF"/>
                  <w:lang w:eastAsia="en-GB"/>
                </w:rPr>
                <w:t xml:space="preserve"> Freedman SD, P</w:t>
              </w:r>
            </w:hyperlink>
            <w:r>
              <w:rPr>
                <w:rFonts w:ascii="Times New Roman" w:eastAsia="Times New Roman" w:hAnsi="Times New Roman"/>
                <w:sz w:val="24"/>
                <w:szCs w:val="24"/>
                <w:lang w:eastAsia="en-GB"/>
              </w:rPr>
              <w:t>atient education: Chronic pancreatitis (Beyond the Basics). Aktualizēts 2020. https://www-uptodate-com.db.rs</w:t>
            </w:r>
            <w:r>
              <w:rPr>
                <w:rFonts w:ascii="Times New Roman" w:eastAsia="Times New Roman" w:hAnsi="Times New Roman"/>
                <w:sz w:val="24"/>
                <w:szCs w:val="24"/>
                <w:lang w:eastAsia="en-GB"/>
              </w:rPr>
              <w:t>u.lv/contents/chronic-pancreatitis-beyond-the-basics/print</w:t>
            </w:r>
          </w:p>
          <w:p w:rsidR="00AC6FDF" w14:paraId="55886AC9" w14:textId="77777777">
            <w:pPr>
              <w:pStyle w:val="ListParagraph"/>
              <w:numPr>
                <w:ilvl w:val="0"/>
                <w:numId w:val="4"/>
              </w:numPr>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Pancreatitis. </w:t>
            </w:r>
            <w:hyperlink r:id="rId10" w:history="1">
              <w:r>
                <w:rPr>
                  <w:rStyle w:val="Hyperlink"/>
                  <w:rFonts w:ascii="Times New Roman" w:eastAsia="Times New Roman" w:hAnsi="Times New Roman"/>
                  <w:sz w:val="24"/>
                  <w:szCs w:val="24"/>
                  <w:lang w:eastAsia="en-GB"/>
                </w:rPr>
                <w:t>https://www.mayoclinic.org/diseases-conditions/pancreatitis/diagnosis-treatme</w:t>
              </w:r>
              <w:r>
                <w:rPr>
                  <w:rStyle w:val="Hyperlink"/>
                  <w:rFonts w:ascii="Times New Roman" w:eastAsia="Times New Roman" w:hAnsi="Times New Roman"/>
                  <w:sz w:val="24"/>
                  <w:szCs w:val="24"/>
                  <w:lang w:eastAsia="en-GB"/>
                </w:rPr>
                <w:t>nt/drc-20360233</w:t>
              </w:r>
            </w:hyperlink>
          </w:p>
          <w:p w:rsidR="00AC6FDF" w14:paraId="6D757E74" w14:textId="77777777">
            <w:pPr>
              <w:pStyle w:val="ListParagraph"/>
              <w:numPr>
                <w:ilvl w:val="0"/>
                <w:numId w:val="4"/>
              </w:numPr>
              <w:rPr>
                <w:rFonts w:ascii="Times New Roman" w:hAnsi="Times New Roman"/>
                <w:sz w:val="24"/>
                <w:szCs w:val="24"/>
              </w:rPr>
            </w:pPr>
            <w:bookmarkStart w:id="3" w:name="_Hlk53066600"/>
            <w:bookmarkStart w:id="4" w:name="_Hlk53657824"/>
            <w:r>
              <w:rPr>
                <w:rFonts w:ascii="Times New Roman" w:hAnsi="Times New Roman"/>
                <w:sz w:val="24"/>
                <w:szCs w:val="24"/>
              </w:rPr>
              <w:t xml:space="preserve">Attēla izmantošana saskaņota ar www.uptodate.com vietnes uzturētāju un attēla autoru Vege SS. Attēla pirmavots: Vege SS. Patient education: Chronic pancreatitis (Beyond the Basics). Copyright © 2020 UpToDate, Inc. </w:t>
            </w:r>
            <w:r>
              <w:rPr>
                <w:rFonts w:ascii="Times New Roman" w:hAnsi="Times New Roman"/>
                <w:sz w:val="24"/>
                <w:szCs w:val="24"/>
                <w:lang w:val="en-US"/>
              </w:rPr>
              <w:t xml:space="preserve"> Attēla autors neuzņema</w:t>
            </w:r>
            <w:r>
              <w:rPr>
                <w:rFonts w:ascii="Times New Roman" w:hAnsi="Times New Roman"/>
                <w:sz w:val="24"/>
                <w:szCs w:val="24"/>
                <w:lang w:val="en-US"/>
              </w:rPr>
              <w:t xml:space="preserve">s atbildību par attēla tulkojumu. Attēls oriģinālvalodā skatāms: </w:t>
            </w:r>
            <w:r>
              <w:rPr>
                <w:rFonts w:ascii="Times New Roman" w:hAnsi="Times New Roman"/>
                <w:sz w:val="24"/>
                <w:szCs w:val="24"/>
              </w:rPr>
              <w:t>www.uptodate.com.</w:t>
            </w:r>
            <w:bookmarkEnd w:id="3"/>
            <w:bookmarkEnd w:id="4"/>
          </w:p>
          <w:p w:rsidR="00AC6FDF" w14:paraId="4F811563" w14:textId="77777777">
            <w:pPr>
              <w:pBdr>
                <w:top w:val="none" w:sz="0" w:space="0" w:color="auto"/>
                <w:left w:val="none" w:sz="0" w:space="0" w:color="auto"/>
                <w:bottom w:val="none" w:sz="0" w:space="0" w:color="auto"/>
                <w:right w:val="none" w:sz="0" w:space="0" w:color="auto"/>
              </w:pBdr>
              <w:autoSpaceDE w:val="0"/>
              <w:autoSpaceDN w:val="0"/>
              <w:adjustRightInd w:val="0"/>
              <w:spacing w:after="200" w:line="240" w:lineRule="auto"/>
              <w:ind w:left="720" w:hanging="720" w:hangingChars="300"/>
              <w:textAlignment w:val="auto"/>
              <w:rPr>
                <w:rFonts w:ascii="Times New Roman" w:hAnsi="Times New Roman"/>
                <w:sz w:val="24"/>
                <w:szCs w:val="24"/>
              </w:rPr>
            </w:pPr>
          </w:p>
        </w:tc>
      </w:tr>
      <w:tr w14:paraId="15935DC1" w14:textId="77777777">
        <w:tblPrEx>
          <w:tblW w:w="0" w:type="auto"/>
          <w:tblLook w:val="04A0"/>
        </w:tblPrEx>
        <w:tc>
          <w:tcPr>
            <w:tcW w:w="2301" w:type="dxa"/>
            <w:tcBorders>
              <w:tl2br w:val="nil"/>
              <w:tr2bl w:val="nil"/>
            </w:tcBorders>
          </w:tcPr>
          <w:p w:rsidR="00AC6FDF" w14:paraId="731D4B5E" w14:textId="77777777">
            <w:pPr>
              <w:pBdr>
                <w:top w:val="none" w:sz="0" w:space="0" w:color="auto"/>
                <w:left w:val="none" w:sz="0" w:space="0" w:color="auto"/>
                <w:bottom w:val="none" w:sz="0" w:space="0" w:color="auto"/>
                <w:right w:val="none" w:sz="0" w:space="0" w:color="auto"/>
              </w:pBdr>
              <w:autoSpaceDE w:val="0"/>
              <w:autoSpaceDN w:val="0"/>
              <w:adjustRightInd w:val="0"/>
              <w:spacing w:after="0" w:line="240" w:lineRule="auto"/>
              <w:ind w:left="720"/>
              <w:textAlignment w:val="auto"/>
              <w:rPr>
                <w:rFonts w:ascii="Times New Roman" w:hAnsi="Times New Roman"/>
                <w:sz w:val="24"/>
                <w:szCs w:val="24"/>
              </w:rPr>
            </w:pPr>
          </w:p>
        </w:tc>
        <w:tc>
          <w:tcPr>
            <w:tcW w:w="2755" w:type="dxa"/>
            <w:tcBorders>
              <w:tl2br w:val="nil"/>
              <w:tr2bl w:val="nil"/>
            </w:tcBorders>
          </w:tcPr>
          <w:p w:rsidR="00AC6FDF" w14:paraId="45E155CD" w14:textId="77777777">
            <w:pPr>
              <w:pBdr>
                <w:top w:val="none" w:sz="0" w:space="0" w:color="auto"/>
                <w:left w:val="none" w:sz="0" w:space="0" w:color="auto"/>
                <w:bottom w:val="none" w:sz="0" w:space="0" w:color="auto"/>
                <w:right w:val="none" w:sz="0" w:space="0" w:color="auto"/>
              </w:pBdr>
              <w:autoSpaceDE w:val="0"/>
              <w:autoSpaceDN w:val="0"/>
              <w:adjustRightInd w:val="0"/>
              <w:spacing w:after="0" w:line="240" w:lineRule="auto"/>
              <w:ind w:left="720"/>
              <w:textAlignment w:val="auto"/>
              <w:rPr>
                <w:rFonts w:ascii="Times New Roman" w:hAnsi="Times New Roman"/>
                <w:sz w:val="24"/>
                <w:szCs w:val="24"/>
              </w:rPr>
            </w:pPr>
          </w:p>
        </w:tc>
        <w:tc>
          <w:tcPr>
            <w:tcW w:w="3466" w:type="dxa"/>
            <w:tcBorders>
              <w:tl2br w:val="nil"/>
              <w:tr2bl w:val="nil"/>
            </w:tcBorders>
          </w:tcPr>
          <w:p w:rsidR="00AC6FDF" w14:paraId="70A56EAA" w14:textId="77777777">
            <w:pPr>
              <w:pBdr>
                <w:top w:val="none" w:sz="0" w:space="0" w:color="auto"/>
                <w:left w:val="none" w:sz="0" w:space="0" w:color="auto"/>
                <w:bottom w:val="none" w:sz="0" w:space="0" w:color="auto"/>
                <w:right w:val="none" w:sz="0" w:space="0" w:color="auto"/>
              </w:pBdr>
              <w:autoSpaceDE w:val="0"/>
              <w:autoSpaceDN w:val="0"/>
              <w:adjustRightInd w:val="0"/>
              <w:spacing w:after="0" w:line="240" w:lineRule="auto"/>
              <w:ind w:left="720"/>
              <w:textAlignment w:val="auto"/>
              <w:rPr>
                <w:rFonts w:ascii="Times New Roman" w:hAnsi="Times New Roman"/>
                <w:sz w:val="24"/>
                <w:szCs w:val="24"/>
              </w:rPr>
            </w:pPr>
          </w:p>
        </w:tc>
      </w:tr>
      <w:tr w14:paraId="4ED241DE" w14:textId="77777777">
        <w:tblPrEx>
          <w:tblW w:w="0" w:type="auto"/>
          <w:tblLook w:val="04A0"/>
        </w:tblPrEx>
        <w:tc>
          <w:tcPr>
            <w:tcW w:w="2301" w:type="dxa"/>
            <w:tcBorders>
              <w:tl2br w:val="nil"/>
              <w:tr2bl w:val="nil"/>
            </w:tcBorders>
          </w:tcPr>
          <w:p w:rsidR="00AC6FDF" w14:paraId="51808177" w14:textId="77777777">
            <w:pPr>
              <w:pBdr>
                <w:top w:val="none" w:sz="0" w:space="0" w:color="auto"/>
                <w:left w:val="none" w:sz="0" w:space="0" w:color="auto"/>
                <w:bottom w:val="none" w:sz="0" w:space="0" w:color="auto"/>
                <w:right w:val="none" w:sz="0" w:space="0" w:color="auto"/>
              </w:pBdr>
              <w:autoSpaceDE w:val="0"/>
              <w:autoSpaceDN w:val="0"/>
              <w:adjustRightInd w:val="0"/>
              <w:spacing w:after="0" w:line="240" w:lineRule="auto"/>
              <w:ind w:left="720"/>
              <w:textAlignment w:val="auto"/>
              <w:rPr>
                <w:rFonts w:ascii="Times New Roman" w:hAnsi="Times New Roman"/>
                <w:sz w:val="24"/>
                <w:szCs w:val="24"/>
              </w:rPr>
            </w:pPr>
          </w:p>
        </w:tc>
        <w:tc>
          <w:tcPr>
            <w:tcW w:w="2755" w:type="dxa"/>
            <w:tcBorders>
              <w:tl2br w:val="nil"/>
              <w:tr2bl w:val="nil"/>
            </w:tcBorders>
          </w:tcPr>
          <w:p w:rsidR="00AC6FDF" w14:paraId="49F38F97" w14:textId="77777777">
            <w:pPr>
              <w:pBdr>
                <w:top w:val="none" w:sz="0" w:space="0" w:color="auto"/>
                <w:left w:val="none" w:sz="0" w:space="0" w:color="auto"/>
                <w:bottom w:val="none" w:sz="0" w:space="0" w:color="auto"/>
                <w:right w:val="none" w:sz="0" w:space="0" w:color="auto"/>
              </w:pBdr>
              <w:autoSpaceDE w:val="0"/>
              <w:autoSpaceDN w:val="0"/>
              <w:adjustRightInd w:val="0"/>
              <w:spacing w:after="200" w:line="240" w:lineRule="auto"/>
              <w:ind w:left="720"/>
              <w:textAlignment w:val="auto"/>
              <w:rPr>
                <w:rFonts w:ascii="Times New Roman" w:hAnsi="Times New Roman"/>
                <w:sz w:val="24"/>
                <w:szCs w:val="24"/>
              </w:rPr>
            </w:pPr>
          </w:p>
        </w:tc>
        <w:tc>
          <w:tcPr>
            <w:tcW w:w="3466" w:type="dxa"/>
            <w:tcBorders>
              <w:tl2br w:val="nil"/>
              <w:tr2bl w:val="nil"/>
            </w:tcBorders>
          </w:tcPr>
          <w:p w:rsidR="00AC6FDF" w14:paraId="1FD87A23" w14:textId="77777777">
            <w:pPr>
              <w:pBdr>
                <w:top w:val="none" w:sz="0" w:space="0" w:color="auto"/>
                <w:left w:val="none" w:sz="0" w:space="0" w:color="auto"/>
                <w:bottom w:val="none" w:sz="0" w:space="0" w:color="auto"/>
                <w:right w:val="none" w:sz="0" w:space="0" w:color="auto"/>
              </w:pBdr>
              <w:autoSpaceDE w:val="0"/>
              <w:autoSpaceDN w:val="0"/>
              <w:adjustRightInd w:val="0"/>
              <w:spacing w:after="200" w:line="240" w:lineRule="auto"/>
              <w:ind w:left="720"/>
              <w:textAlignment w:val="auto"/>
              <w:rPr>
                <w:rFonts w:ascii="Times New Roman" w:hAnsi="Times New Roman"/>
                <w:sz w:val="24"/>
                <w:szCs w:val="24"/>
              </w:rPr>
            </w:pPr>
          </w:p>
        </w:tc>
      </w:tr>
      <w:tr w14:paraId="7C995D13" w14:textId="77777777">
        <w:tblPrEx>
          <w:tblW w:w="0" w:type="auto"/>
          <w:tblLook w:val="04A0"/>
        </w:tblPrEx>
        <w:tc>
          <w:tcPr>
            <w:tcW w:w="2301" w:type="dxa"/>
            <w:tcBorders>
              <w:tl2br w:val="nil"/>
              <w:tr2bl w:val="nil"/>
            </w:tcBorders>
          </w:tcPr>
          <w:p w:rsidR="00AC6FDF" w14:paraId="7335C17B" w14:textId="77777777">
            <w:pPr>
              <w:rPr>
                <w:rFonts w:ascii="Times New Roman" w:hAnsi="Times New Roman"/>
                <w:sz w:val="24"/>
                <w:szCs w:val="24"/>
              </w:rPr>
            </w:pPr>
          </w:p>
        </w:tc>
        <w:tc>
          <w:tcPr>
            <w:tcW w:w="2755" w:type="dxa"/>
            <w:tcBorders>
              <w:tl2br w:val="nil"/>
              <w:tr2bl w:val="nil"/>
            </w:tcBorders>
          </w:tcPr>
          <w:p w:rsidR="00AC6FDF" w14:paraId="704C71BC" w14:textId="77777777">
            <w:pPr>
              <w:rPr>
                <w:rFonts w:ascii="Times New Roman" w:hAnsi="Times New Roman"/>
                <w:sz w:val="24"/>
                <w:szCs w:val="24"/>
              </w:rPr>
            </w:pPr>
          </w:p>
        </w:tc>
        <w:tc>
          <w:tcPr>
            <w:tcW w:w="3466" w:type="dxa"/>
            <w:tcBorders>
              <w:tl2br w:val="nil"/>
              <w:tr2bl w:val="nil"/>
            </w:tcBorders>
          </w:tcPr>
          <w:p w:rsidR="00AC6FDF" w14:paraId="3FB4226C" w14:textId="77777777">
            <w:pPr>
              <w:rPr>
                <w:rFonts w:ascii="Times New Roman" w:hAnsi="Times New Roman"/>
                <w:sz w:val="24"/>
                <w:szCs w:val="24"/>
              </w:rPr>
            </w:pPr>
          </w:p>
        </w:tc>
      </w:tr>
      <w:tr w14:paraId="0E945C79" w14:textId="77777777">
        <w:tblPrEx>
          <w:tblW w:w="0" w:type="auto"/>
          <w:tblLook w:val="04A0"/>
        </w:tblPrEx>
        <w:tc>
          <w:tcPr>
            <w:tcW w:w="2301" w:type="dxa"/>
            <w:tcBorders>
              <w:tl2br w:val="nil"/>
              <w:tr2bl w:val="nil"/>
            </w:tcBorders>
          </w:tcPr>
          <w:p w:rsidR="00AC6FDF" w14:paraId="2294ABEC" w14:textId="77777777">
            <w:pPr>
              <w:rPr>
                <w:rFonts w:ascii="Times New Roman" w:hAnsi="Times New Roman"/>
                <w:sz w:val="24"/>
                <w:szCs w:val="24"/>
              </w:rPr>
            </w:pPr>
          </w:p>
        </w:tc>
        <w:tc>
          <w:tcPr>
            <w:tcW w:w="2755" w:type="dxa"/>
            <w:tcBorders>
              <w:tl2br w:val="nil"/>
              <w:tr2bl w:val="nil"/>
            </w:tcBorders>
          </w:tcPr>
          <w:p w:rsidR="00AC6FDF" w14:paraId="3C9446B0" w14:textId="77777777">
            <w:pPr>
              <w:rPr>
                <w:rFonts w:ascii="Times New Roman" w:hAnsi="Times New Roman"/>
                <w:sz w:val="24"/>
                <w:szCs w:val="24"/>
              </w:rPr>
            </w:pPr>
          </w:p>
        </w:tc>
        <w:tc>
          <w:tcPr>
            <w:tcW w:w="3466" w:type="dxa"/>
            <w:tcBorders>
              <w:tl2br w:val="nil"/>
              <w:tr2bl w:val="nil"/>
            </w:tcBorders>
          </w:tcPr>
          <w:p w:rsidR="00AC6FDF" w14:paraId="1F68B27E" w14:textId="77777777">
            <w:pPr>
              <w:rPr>
                <w:rFonts w:ascii="Times New Roman" w:hAnsi="Times New Roman"/>
                <w:sz w:val="24"/>
                <w:szCs w:val="24"/>
              </w:rPr>
            </w:pPr>
          </w:p>
        </w:tc>
      </w:tr>
      <w:tr w14:paraId="4DD9ABBA" w14:textId="77777777">
        <w:tblPrEx>
          <w:tblW w:w="0" w:type="auto"/>
          <w:tblLook w:val="04A0"/>
        </w:tblPrEx>
        <w:tc>
          <w:tcPr>
            <w:tcW w:w="2301" w:type="dxa"/>
            <w:tcBorders>
              <w:tl2br w:val="nil"/>
              <w:tr2bl w:val="nil"/>
            </w:tcBorders>
          </w:tcPr>
          <w:p w:rsidR="00AC6FDF" w14:paraId="6CAC597B" w14:textId="77777777">
            <w:pPr>
              <w:rPr>
                <w:rFonts w:ascii="Times New Roman" w:hAnsi="Times New Roman"/>
                <w:sz w:val="24"/>
                <w:szCs w:val="24"/>
              </w:rPr>
            </w:pPr>
          </w:p>
        </w:tc>
        <w:tc>
          <w:tcPr>
            <w:tcW w:w="2755" w:type="dxa"/>
            <w:tcBorders>
              <w:tl2br w:val="nil"/>
              <w:tr2bl w:val="nil"/>
            </w:tcBorders>
          </w:tcPr>
          <w:p w:rsidR="00AC6FDF" w14:paraId="2AF1C77C" w14:textId="77777777">
            <w:pPr>
              <w:rPr>
                <w:rFonts w:ascii="Times New Roman" w:hAnsi="Times New Roman"/>
                <w:sz w:val="24"/>
                <w:szCs w:val="24"/>
              </w:rPr>
            </w:pPr>
          </w:p>
        </w:tc>
        <w:tc>
          <w:tcPr>
            <w:tcW w:w="3466" w:type="dxa"/>
            <w:tcBorders>
              <w:tl2br w:val="nil"/>
              <w:tr2bl w:val="nil"/>
            </w:tcBorders>
          </w:tcPr>
          <w:p w:rsidR="00AC6FDF" w14:paraId="187EA702" w14:textId="77777777">
            <w:pPr>
              <w:rPr>
                <w:rFonts w:ascii="Times New Roman" w:hAnsi="Times New Roman"/>
                <w:sz w:val="24"/>
                <w:szCs w:val="24"/>
              </w:rPr>
            </w:pPr>
          </w:p>
        </w:tc>
      </w:tr>
      <w:tr w14:paraId="51D0E3CF" w14:textId="77777777">
        <w:tblPrEx>
          <w:tblW w:w="0" w:type="auto"/>
          <w:tblLook w:val="04A0"/>
        </w:tblPrEx>
        <w:tc>
          <w:tcPr>
            <w:tcW w:w="2301" w:type="dxa"/>
            <w:tcBorders>
              <w:tl2br w:val="nil"/>
              <w:tr2bl w:val="nil"/>
            </w:tcBorders>
          </w:tcPr>
          <w:p w:rsidR="00AC6FDF" w14:paraId="329DDAA9" w14:textId="77777777">
            <w:pPr>
              <w:rPr>
                <w:rFonts w:ascii="Times New Roman" w:hAnsi="Times New Roman"/>
                <w:sz w:val="24"/>
                <w:szCs w:val="24"/>
              </w:rPr>
            </w:pPr>
          </w:p>
        </w:tc>
        <w:tc>
          <w:tcPr>
            <w:tcW w:w="2755" w:type="dxa"/>
            <w:tcBorders>
              <w:tl2br w:val="nil"/>
              <w:tr2bl w:val="nil"/>
            </w:tcBorders>
          </w:tcPr>
          <w:p w:rsidR="00AC6FDF" w14:paraId="6CDA41EF" w14:textId="77777777">
            <w:pPr>
              <w:rPr>
                <w:rFonts w:ascii="Times New Roman" w:hAnsi="Times New Roman"/>
                <w:sz w:val="24"/>
                <w:szCs w:val="24"/>
              </w:rPr>
            </w:pPr>
          </w:p>
        </w:tc>
        <w:tc>
          <w:tcPr>
            <w:tcW w:w="3466" w:type="dxa"/>
            <w:tcBorders>
              <w:tl2br w:val="nil"/>
              <w:tr2bl w:val="nil"/>
            </w:tcBorders>
          </w:tcPr>
          <w:p w:rsidR="00AC6FDF" w14:paraId="0C20650A" w14:textId="77777777">
            <w:pPr>
              <w:rPr>
                <w:rFonts w:ascii="Times New Roman" w:hAnsi="Times New Roman"/>
                <w:sz w:val="24"/>
                <w:szCs w:val="24"/>
              </w:rPr>
            </w:pPr>
          </w:p>
        </w:tc>
      </w:tr>
      <w:tr w14:paraId="0EA27016" w14:textId="77777777">
        <w:tblPrEx>
          <w:tblW w:w="0" w:type="auto"/>
          <w:tblLook w:val="04A0"/>
        </w:tblPrEx>
        <w:tc>
          <w:tcPr>
            <w:tcW w:w="2301" w:type="dxa"/>
            <w:tcBorders>
              <w:tl2br w:val="nil"/>
              <w:tr2bl w:val="nil"/>
            </w:tcBorders>
          </w:tcPr>
          <w:p w:rsidR="00AC6FDF" w14:paraId="55C0585C" w14:textId="77777777">
            <w:pPr>
              <w:rPr>
                <w:rFonts w:ascii="Times New Roman" w:hAnsi="Times New Roman"/>
                <w:sz w:val="24"/>
                <w:szCs w:val="24"/>
              </w:rPr>
            </w:pPr>
          </w:p>
        </w:tc>
        <w:tc>
          <w:tcPr>
            <w:tcW w:w="2755" w:type="dxa"/>
            <w:tcBorders>
              <w:tl2br w:val="nil"/>
              <w:tr2bl w:val="nil"/>
            </w:tcBorders>
          </w:tcPr>
          <w:p w:rsidR="00AC6FDF" w14:paraId="4F0AAB4C" w14:textId="77777777">
            <w:pPr>
              <w:rPr>
                <w:rFonts w:ascii="Times New Roman" w:hAnsi="Times New Roman"/>
                <w:sz w:val="24"/>
                <w:szCs w:val="24"/>
              </w:rPr>
            </w:pPr>
          </w:p>
        </w:tc>
        <w:tc>
          <w:tcPr>
            <w:tcW w:w="3466" w:type="dxa"/>
            <w:tcBorders>
              <w:tl2br w:val="nil"/>
              <w:tr2bl w:val="nil"/>
            </w:tcBorders>
          </w:tcPr>
          <w:p w:rsidR="00AC6FDF" w14:paraId="675A4F55" w14:textId="77777777">
            <w:pPr>
              <w:rPr>
                <w:rFonts w:ascii="Times New Roman" w:hAnsi="Times New Roman"/>
                <w:sz w:val="24"/>
                <w:szCs w:val="24"/>
              </w:rPr>
            </w:pPr>
          </w:p>
        </w:tc>
      </w:tr>
      <w:tr w14:paraId="732A42D7" w14:textId="77777777">
        <w:tblPrEx>
          <w:tblW w:w="0" w:type="auto"/>
          <w:tblLook w:val="04A0"/>
        </w:tblPrEx>
        <w:tc>
          <w:tcPr>
            <w:tcW w:w="2301" w:type="dxa"/>
            <w:tcBorders>
              <w:tl2br w:val="nil"/>
              <w:tr2bl w:val="nil"/>
            </w:tcBorders>
          </w:tcPr>
          <w:p w:rsidR="00AC6FDF" w14:paraId="08B2A74E" w14:textId="77777777">
            <w:pPr>
              <w:rPr>
                <w:rFonts w:ascii="Times New Roman" w:hAnsi="Times New Roman"/>
                <w:sz w:val="24"/>
                <w:szCs w:val="24"/>
              </w:rPr>
            </w:pPr>
          </w:p>
        </w:tc>
        <w:tc>
          <w:tcPr>
            <w:tcW w:w="2755" w:type="dxa"/>
            <w:tcBorders>
              <w:tl2br w:val="nil"/>
              <w:tr2bl w:val="nil"/>
            </w:tcBorders>
          </w:tcPr>
          <w:p w:rsidR="00AC6FDF" w14:paraId="48C90E5D" w14:textId="77777777">
            <w:pPr>
              <w:rPr>
                <w:rFonts w:ascii="Times New Roman" w:hAnsi="Times New Roman"/>
                <w:sz w:val="24"/>
                <w:szCs w:val="24"/>
              </w:rPr>
            </w:pPr>
          </w:p>
        </w:tc>
        <w:tc>
          <w:tcPr>
            <w:tcW w:w="3466" w:type="dxa"/>
            <w:tcBorders>
              <w:tl2br w:val="nil"/>
              <w:tr2bl w:val="nil"/>
            </w:tcBorders>
          </w:tcPr>
          <w:p w:rsidR="00AC6FDF" w14:paraId="6438D402" w14:textId="77777777">
            <w:pPr>
              <w:rPr>
                <w:rFonts w:ascii="Times New Roman" w:hAnsi="Times New Roman"/>
                <w:sz w:val="24"/>
                <w:szCs w:val="24"/>
              </w:rPr>
            </w:pPr>
          </w:p>
        </w:tc>
      </w:tr>
    </w:tbl>
    <w:p w:rsidR="00AC6FDF" w14:paraId="37532472" w14:textId="77777777">
      <w:pPr>
        <w:rPr>
          <w:rFonts w:ascii="Times New Roman" w:hAnsi="Times New Roman"/>
          <w:sz w:val="24"/>
          <w:szCs w:val="24"/>
        </w:rPr>
      </w:pPr>
    </w:p>
    <w:sectPr>
      <w:headerReference w:type="default" r:id="rId11"/>
      <w:footerReference w:type="default" r:id="rId12"/>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C6FDF" w14:paraId="55052C6F" w14:textId="77777777">
    <w:pPr>
      <w:pStyle w:val="Footer"/>
      <w:jc w:val="right"/>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C6FDF" w14:textId="77777777">
                          <w:pPr>
                            <w:pStyle w:val="Foo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5</w:t>
                          </w:r>
                          <w:r>
                            <w:rPr>
                              <w:rFonts w:ascii="Times New Roman" w:hAnsi="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49" type="#_x0000_t202" style="width:2in;height:2in;margin-top:0;margin-left:0;mso-position-horizontal:right;mso-position-horizontal-relative:margin;mso-wrap-distance-bottom:0;mso-wrap-distance-left:9pt;mso-wrap-distance-right:9pt;mso-wrap-distance-top:0;mso-wrap-style:none;position:absolute;v-text-anchor:top;z-index:251658240" filled="f" fillcolor="this" stroked="f" strokeweight="0.5pt">
              <v:textbox style="mso-fit-shape-to-text:t" inset="0,0,0,0">
                <w:txbxContent>
                  <w:p w:rsidR="00AC6FDF" w14:paraId="68D03ACB" w14:textId="77777777">
                    <w:pPr>
                      <w:pStyle w:val="Foo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5</w:t>
                    </w:r>
                    <w:r>
                      <w:rPr>
                        <w:rFonts w:ascii="Times New Roman" w:hAnsi="Times New Roman"/>
                        <w:sz w:val="24"/>
                        <w:szCs w:val="24"/>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3532" w:rsidRPr="00163532" w:rsidP="00163532" w14:paraId="66F61056" w14:textId="389485FF">
    <w:pPr>
      <w:pStyle w:val="Header"/>
      <w:jc w:val="right"/>
    </w:pPr>
    <w:r w:rsidRPr="00163532">
      <w:rPr>
        <w:b/>
        <w:bCs/>
      </w:rPr>
      <w:t>Pielikums Nr.</w:t>
    </w:r>
    <w:r>
      <w:rPr>
        <w:b/>
        <w:bCs/>
      </w:rPr>
      <w:t>4</w:t>
    </w:r>
    <w:r w:rsidRPr="00163532">
      <w:rPr>
        <w:b/>
        <w:bCs/>
      </w:rPr>
      <w:t xml:space="preserve"> Veselības ministrijas </w:t>
    </w:r>
    <w:r w:rsidRPr="00163532">
      <w:rPr>
        <w:b/>
        <w:bCs/>
        <w:noProof/>
      </w:rPr>
      <w:t>Datums skatāms laika zīmogā</w:t>
    </w:r>
    <w:r w:rsidRPr="00163532">
      <w:rPr>
        <w:b/>
        <w:bCs/>
      </w:rPr>
      <w:t xml:space="preserve"> rīkojumam Nr. </w:t>
    </w:r>
    <w:r w:rsidRPr="00163532">
      <w:rPr>
        <w:b/>
        <w:bCs/>
        <w:noProof/>
      </w:rPr>
      <w:t>200</w:t>
    </w:r>
  </w:p>
  <w:p w:rsidR="00163532" w14:paraId="3E18971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41C4444A"/>
    <w:multiLevelType w:val="multilevel"/>
    <w:tmpl w:val="41C4444A"/>
    <w:lvl w:ilvl="0">
      <w:start w:val="1"/>
      <w:numFmt w:val="bullet"/>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1">
    <w:nsid w:val="474DA58D"/>
    <w:multiLevelType w:val="singleLevel"/>
    <w:tmpl w:val="474DA58D"/>
    <w:lvl w:ilvl="0">
      <w:start w:val="1"/>
      <w:numFmt w:val="bullet"/>
      <w:pStyle w:val="ListBullet"/>
      <w:lvlText w:val=""/>
      <w:lvlJc w:val="left"/>
      <w:pPr>
        <w:tabs>
          <w:tab w:val="left" w:pos="360"/>
        </w:tabs>
        <w:ind w:left="360" w:hanging="360" w:hangingChars="200"/>
      </w:pPr>
      <w:rPr>
        <w:rFonts w:ascii="Wingdings" w:hAnsi="Wingdings" w:hint="default"/>
      </w:rPr>
    </w:lvl>
  </w:abstractNum>
  <w:abstractNum w:abstractNumId="2" w15:restartNumberingAfterBreak="1">
    <w:nsid w:val="4D173B28"/>
    <w:multiLevelType w:val="multilevel"/>
    <w:tmpl w:val="4D173B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1">
    <w:nsid w:val="568C7188"/>
    <w:multiLevelType w:val="multilevel"/>
    <w:tmpl w:val="568C71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172A27"/>
    <w:rsid w:val="00163532"/>
    <w:rsid w:val="00172A27"/>
    <w:rsid w:val="00191D9F"/>
    <w:rsid w:val="005C5A41"/>
    <w:rsid w:val="00AC6FDF"/>
    <w:rsid w:val="00B03D7A"/>
    <w:rsid w:val="00C26E1F"/>
    <w:rsid w:val="00C80C23"/>
    <w:rsid w:val="13B15BAD"/>
    <w:rsid w:val="27BC322E"/>
    <w:rsid w:val="334368B8"/>
    <w:rsid w:val="37D35953"/>
    <w:rsid w:val="3D39461C"/>
    <w:rsid w:val="5BAF4C95"/>
    <w:rsid w:val="645F54B9"/>
    <w:rsid w:val="6A6E58A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B0807CB1-B8C1-415A-96E5-A296C5C7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footnote reference" w:semiHidden="1" w:uiPriority="99" w:unhideWhenUsed="1" w:qFormat="1"/>
    <w:lsdException w:name="List Bullet" w:qFormat="1"/>
    <w:lsdException w:name="Title" w:qFormat="1"/>
    <w:lsdException w:name="Default Paragraph Font" w:semiHidden="1" w:uiPriority="1" w:unhideWhenUsed="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pBdr>
        <w:top w:val="nil"/>
        <w:left w:val="nil"/>
        <w:bottom w:val="nil"/>
        <w:right w:val="nil"/>
      </w:pBdr>
      <w:spacing w:after="160" w:line="252" w:lineRule="auto"/>
      <w:textAlignment w:val="baseline"/>
    </w:pPr>
    <w:rPr>
      <w:rFonts w:ascii="Calibri" w:eastAsia="Calibri" w:hAnsi="Calibri" w:cs="Times New Roman"/>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paragraph" w:styleId="ListBullet">
    <w:name w:val="List Bullet"/>
    <w:basedOn w:val="Normal"/>
    <w:qFormat/>
    <w:pPr>
      <w:numPr>
        <w:numId w:val="1"/>
      </w:numPr>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lang w:eastAsia="lv-LV"/>
    </w:rPr>
  </w:style>
  <w:style w:type="character" w:styleId="FootnoteReference">
    <w:name w:val="footnote reference"/>
    <w:basedOn w:val="DefaultParagraphFont"/>
    <w:uiPriority w:val="99"/>
    <w:semiHidden/>
    <w:unhideWhenUsed/>
    <w:qFormat/>
    <w:rPr>
      <w:vertAlign w:val="superscript"/>
    </w:rPr>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
    <w:name w:val="Saraksta rindkopa"/>
    <w:basedOn w:val="Parasts"/>
    <w:qFormat/>
    <w:pPr>
      <w:spacing w:after="0" w:line="240" w:lineRule="auto"/>
      <w:ind w:left="720"/>
    </w:pPr>
    <w:rPr>
      <w:rFonts w:ascii="Times New Roman" w:eastAsia="Times New Roman" w:hAnsi="Times New Roman"/>
      <w:sz w:val="24"/>
      <w:szCs w:val="24"/>
      <w:lang w:val="lv-LV" w:eastAsia="lv-LV"/>
    </w:rPr>
  </w:style>
  <w:style w:type="paragraph" w:customStyle="1" w:styleId="Parasts">
    <w:name w:val="Parasts"/>
    <w:qFormat/>
    <w:pPr>
      <w:pBdr>
        <w:top w:val="nil"/>
        <w:left w:val="nil"/>
        <w:bottom w:val="nil"/>
        <w:right w:val="nil"/>
      </w:pBdr>
      <w:suppressAutoHyphens/>
      <w:spacing w:after="160" w:line="252" w:lineRule="auto"/>
      <w:textAlignment w:val="baseline"/>
    </w:pPr>
    <w:rPr>
      <w:rFonts w:ascii="Calibri" w:eastAsia="Calibri" w:hAnsi="Calibri" w:cs="Times New Roman"/>
      <w:sz w:val="22"/>
      <w:szCs w:val="22"/>
      <w:lang w:val="ru-RU" w:eastAsia="en-US"/>
    </w:rPr>
  </w:style>
  <w:style w:type="character" w:customStyle="1" w:styleId="Noklusjumarindkopasfonts">
    <w:name w:val="Noklusējuma rindkopas fonts"/>
    <w:qFormat/>
  </w:style>
  <w:style w:type="paragraph" w:styleId="ListParagraph">
    <w:name w:val="List Paragraph"/>
    <w:basedOn w:val="Normal"/>
    <w:uiPriority w:val="34"/>
    <w:qFormat/>
    <w:pPr>
      <w:ind w:left="720"/>
      <w:contextualSpacing/>
    </w:pPr>
  </w:style>
  <w:style w:type="table" w:customStyle="1" w:styleId="ListTable4-Accent31">
    <w:name w:val="List Table 4 - Accent 31"/>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ps">
    <w:name w:val="hps"/>
    <w:basedOn w:val="DefaultParagraphFont"/>
    <w:qFormat/>
  </w:style>
  <w:style w:type="paragraph" w:styleId="NoSpacing">
    <w:name w:val="No Spacing"/>
    <w:uiPriority w:val="1"/>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mayoclinic.org/diseases-conditions/pancreatitis/diagnosis-treatment/drc-20360233"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hyperlink" Target="http://www.uptodate.com" TargetMode="External" /><Relationship Id="rId8" Type="http://schemas.openxmlformats.org/officeDocument/2006/relationships/hyperlink" Target="http://www.vm.gov.lv/lv/tava_veseliba/veseligs_uzturs/" TargetMode="External" /><Relationship Id="rId9" Type="http://schemas.openxmlformats.org/officeDocument/2006/relationships/hyperlink" Target="https://www-uptodate-com.db.rsu.lv/contents/chronic-pancreatitis-beyond-the-basics/contributors"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5687</Words>
  <Characters>3243</Characters>
  <Application>Microsoft Office Word</Application>
  <DocSecurity>0</DocSecurity>
  <Lines>27</Lines>
  <Paragraphs>17</Paragraphs>
  <ScaleCrop>false</ScaleCrop>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igara</dc:creator>
  <cp:lastModifiedBy>Ieva Apine</cp:lastModifiedBy>
  <cp:revision>5</cp:revision>
  <dcterms:created xsi:type="dcterms:W3CDTF">2020-11-10T07:04:00Z</dcterms:created>
  <dcterms:modified xsi:type="dcterms:W3CDTF">2020-11-13T12:52:00Z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