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1F1232" w14:paraId="7BF5EC94" w14:textId="77777777"/>
    <w:tbl>
      <w:tblPr>
        <w:tblStyle w:val="TableGrid"/>
        <w:tblpPr w:leftFromText="180" w:rightFromText="180" w:vertAnchor="page" w:horzAnchor="page" w:tblpX="1831" w:tblpY="2336"/>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336"/>
        <w:gridCol w:w="2813"/>
        <w:gridCol w:w="3373"/>
      </w:tblGrid>
      <w:tr w14:paraId="2EF30C9E" w14:textId="77777777">
        <w:tblPrEx>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Ex>
        <w:tc>
          <w:tcPr>
            <w:tcW w:w="8522" w:type="dxa"/>
            <w:gridSpan w:val="3"/>
            <w:tcBorders>
              <w:tl2br w:val="nil"/>
              <w:tr2bl w:val="nil"/>
            </w:tcBorders>
          </w:tcPr>
          <w:p w:rsidR="001F1232" w14:paraId="26A084C7" w14:textId="77777777">
            <w:pPr>
              <w:jc w:val="center"/>
              <w:rPr>
                <w:rFonts w:ascii="Times New Roman" w:hAnsi="Times New Roman"/>
                <w:color w:val="000000"/>
                <w:sz w:val="21"/>
                <w:szCs w:val="21"/>
                <w:lang w:eastAsia="lv-LV"/>
              </w:rPr>
            </w:pPr>
          </w:p>
          <w:p w:rsidR="00D044E3" w:rsidRPr="001F1232" w14:paraId="4103196C" w14:textId="2481E7A6">
            <w:pPr>
              <w:jc w:val="center"/>
              <w:rPr>
                <w:rFonts w:ascii="Times New Roman" w:hAnsi="Times New Roman"/>
                <w:color w:val="000000"/>
                <w:sz w:val="21"/>
                <w:szCs w:val="21"/>
                <w:lang w:eastAsia="lv-LV"/>
              </w:rPr>
            </w:pPr>
            <w:r>
              <w:rPr>
                <w:rFonts w:ascii="Times New Roman" w:hAnsi="Times New Roman"/>
                <w:noProof/>
                <w:sz w:val="24"/>
                <w:szCs w:val="24"/>
              </w:rPr>
              <w:drawing>
                <wp:anchor distT="0" distB="0" distL="114300" distR="114300" simplePos="0" relativeHeight="251658240" behindDoc="1" locked="0" layoutInCell="1" allowOverlap="1">
                  <wp:simplePos x="0" y="0"/>
                  <wp:positionH relativeFrom="column">
                    <wp:posOffset>-561975</wp:posOffset>
                  </wp:positionH>
                  <wp:positionV relativeFrom="paragraph">
                    <wp:posOffset>-1032510</wp:posOffset>
                  </wp:positionV>
                  <wp:extent cx="6540500" cy="1228725"/>
                  <wp:effectExtent l="0" t="0" r="0" b="9525"/>
                  <wp:wrapNone/>
                  <wp:docPr id="1" name="Picture 1" descr="C:\Users\Šlšrutš MT\Downloads\VM_ESF_LV_korige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673944" name="Picture 1" descr="C:\Users\Šlšrutš MT\Downloads\VM_ESF_LV_korigets (1).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l="723" t="24117"/>
                          <a:stretch>
                            <a:fillRect/>
                          </a:stretch>
                        </pic:blipFill>
                        <pic:spPr bwMode="auto">
                          <a:xfrm>
                            <a:off x="0" y="0"/>
                            <a:ext cx="6540500" cy="122872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4BA3">
              <w:rPr>
                <w:rFonts w:ascii="Times New Roman" w:hAnsi="Times New Roman"/>
                <w:color w:val="000000"/>
                <w:sz w:val="21"/>
                <w:szCs w:val="21"/>
                <w:lang w:eastAsia="lv-LV"/>
              </w:rPr>
              <w:t>Ieteikumi izstrādāti ESF projekta „Kompleksi veselības veicināšanas un slimību profilakses pasākumi” ietvaros (identifikācijas Nr.9.2.4.1./16/I/001)</w:t>
            </w:r>
          </w:p>
        </w:tc>
      </w:tr>
      <w:tr w14:paraId="2101D045" w14:textId="77777777">
        <w:tblPrEx>
          <w:tblW w:w="0" w:type="auto"/>
          <w:tblLook w:val="04A0"/>
        </w:tblPrEx>
        <w:tc>
          <w:tcPr>
            <w:tcW w:w="8522" w:type="dxa"/>
            <w:gridSpan w:val="3"/>
            <w:tcBorders>
              <w:tl2br w:val="nil"/>
              <w:tr2bl w:val="nil"/>
            </w:tcBorders>
          </w:tcPr>
          <w:p w:rsidR="00D044E3" w14:paraId="3D37CEB5" w14:textId="77777777">
            <w:pPr>
              <w:rPr>
                <w:rFonts w:ascii="Times New Roman" w:hAnsi="Times New Roman"/>
              </w:rPr>
            </w:pPr>
            <w:bookmarkStart w:id="0" w:name="_GoBack"/>
            <w:bookmarkEnd w:id="0"/>
          </w:p>
        </w:tc>
      </w:tr>
      <w:tr w14:paraId="51657C3C" w14:textId="77777777">
        <w:tblPrEx>
          <w:tblW w:w="0" w:type="auto"/>
          <w:tblLook w:val="04A0"/>
        </w:tblPrEx>
        <w:tc>
          <w:tcPr>
            <w:tcW w:w="8522" w:type="dxa"/>
            <w:gridSpan w:val="3"/>
            <w:tcBorders>
              <w:tl2br w:val="nil"/>
              <w:tr2bl w:val="nil"/>
            </w:tcBorders>
          </w:tcPr>
          <w:p w:rsidR="00D044E3" w14:paraId="5D9FAABA" w14:textId="77777777">
            <w:pPr>
              <w:jc w:val="center"/>
              <w:rPr>
                <w:rFonts w:ascii="Times New Roman" w:hAnsi="Times New Roman"/>
              </w:rPr>
            </w:pPr>
            <w:r>
              <w:rPr>
                <w:rFonts w:ascii="Times New Roman" w:hAnsi="Times New Roman"/>
                <w:b/>
                <w:bCs/>
                <w:sz w:val="28"/>
                <w:szCs w:val="28"/>
              </w:rPr>
              <w:t>Uztura ieteikumi pacientiem ar hroniskām  aknu slimībām</w:t>
            </w:r>
          </w:p>
        </w:tc>
      </w:tr>
      <w:tr w14:paraId="07FC841E" w14:textId="77777777">
        <w:tblPrEx>
          <w:tblW w:w="0" w:type="auto"/>
          <w:tblLook w:val="04A0"/>
        </w:tblPrEx>
        <w:tc>
          <w:tcPr>
            <w:tcW w:w="8522" w:type="dxa"/>
            <w:gridSpan w:val="3"/>
            <w:tcBorders>
              <w:bottom w:val="nil"/>
              <w:tl2br w:val="nil"/>
              <w:tr2bl w:val="nil"/>
            </w:tcBorders>
          </w:tcPr>
          <w:p w:rsidR="00D044E3" w14:paraId="3D5BDB65" w14:textId="77777777">
            <w:pPr>
              <w:rPr>
                <w:rFonts w:ascii="Times New Roman" w:hAnsi="Times New Roman"/>
                <w:sz w:val="24"/>
                <w:szCs w:val="24"/>
              </w:rPr>
            </w:pPr>
          </w:p>
        </w:tc>
      </w:tr>
      <w:tr w14:paraId="43BD824F" w14:textId="77777777">
        <w:tblPrEx>
          <w:tblW w:w="0" w:type="auto"/>
          <w:tblLook w:val="04A0"/>
        </w:tblPrEx>
        <w:tc>
          <w:tcPr>
            <w:tcW w:w="8522" w:type="dxa"/>
            <w:gridSpan w:val="3"/>
            <w:tcBorders>
              <w:top w:val="nil"/>
              <w:left w:val="nil"/>
              <w:bottom w:val="nil"/>
              <w:right w:val="nil"/>
              <w:tl2br w:val="nil"/>
              <w:tr2bl w:val="nil"/>
            </w:tcBorders>
          </w:tcPr>
          <w:p w:rsidR="00D044E3" w14:paraId="7D651EE1" w14:textId="77777777">
            <w:pPr>
              <w:rPr>
                <w:rFonts w:ascii="Times New Roman" w:hAnsi="Times New Roman"/>
                <w:sz w:val="24"/>
                <w:szCs w:val="24"/>
              </w:rPr>
            </w:pPr>
            <w:r>
              <w:rPr>
                <w:rFonts w:ascii="Times New Roman" w:hAnsi="Times New Roman"/>
                <w:b/>
                <w:bCs/>
                <w:sz w:val="24"/>
                <w:szCs w:val="24"/>
              </w:rPr>
              <w:t>Aknas</w:t>
            </w:r>
            <w:r>
              <w:rPr>
                <w:rFonts w:ascii="Times New Roman" w:hAnsi="Times New Roman"/>
                <w:sz w:val="24"/>
                <w:szCs w:val="24"/>
              </w:rPr>
              <w:t xml:space="preserve"> ir lielākais un svarīgākais vēdera dobuma orgāns. Tas nodrošina olbaltumu, ogļhidrātu un tauku vielmaiņu. Tāpat aknas ir galvenais organisma atindēšanas orgāns, kas nodrošina organismam kaitīgu vielu pārveidi par nekaitīgām. Ja aknu darbība ir traucēta, t</w:t>
            </w:r>
            <w:r>
              <w:rPr>
                <w:rFonts w:ascii="Times New Roman" w:hAnsi="Times New Roman"/>
                <w:sz w:val="24"/>
                <w:szCs w:val="24"/>
              </w:rPr>
              <w:t>iek traucēta visa organisma darbība.</w:t>
            </w:r>
          </w:p>
          <w:p w:rsidR="00D044E3" w14:paraId="2B5E8F7B" w14:textId="77777777">
            <w:pPr>
              <w:jc w:val="center"/>
              <w:rPr>
                <w:rFonts w:ascii="Times New Roman" w:hAnsi="Times New Roman"/>
                <w:sz w:val="24"/>
                <w:szCs w:val="24"/>
              </w:rPr>
            </w:pPr>
            <w:r>
              <w:rPr>
                <w:rFonts w:ascii="Times New Roman" w:eastAsia="Times New Roman" w:hAnsi="Times New Roman"/>
                <w:noProof/>
                <w:sz w:val="24"/>
                <w:szCs w:val="24"/>
                <w:lang w:eastAsia="en-GB"/>
              </w:rPr>
              <w:drawing>
                <wp:inline distT="0" distB="0" distL="0" distR="0">
                  <wp:extent cx="3496945" cy="3657600"/>
                  <wp:effectExtent l="0" t="0" r="825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34081" name="Picture 4" descr="Diagram&#10;&#10;Description automatically generated"/>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510634" cy="3671378"/>
                          </a:xfrm>
                          <a:prstGeom prst="rect">
                            <a:avLst/>
                          </a:prstGeom>
                        </pic:spPr>
                      </pic:pic>
                    </a:graphicData>
                  </a:graphic>
                </wp:inline>
              </w:drawing>
            </w:r>
          </w:p>
          <w:p w:rsidR="00D044E3" w14:paraId="65B33155" w14:textId="77777777">
            <w:pPr>
              <w:jc w:val="center"/>
              <w:rPr>
                <w:rFonts w:ascii="Times New Roman" w:hAnsi="Times New Roman"/>
                <w:color w:val="000000" w:themeColor="text1"/>
                <w:sz w:val="24"/>
                <w:szCs w:val="24"/>
              </w:rPr>
            </w:pPr>
            <w:bookmarkStart w:id="1" w:name="_Hlk53065766"/>
            <w:r>
              <w:rPr>
                <w:rFonts w:ascii="Times New Roman" w:hAnsi="Times New Roman"/>
                <w:color w:val="000000" w:themeColor="text1"/>
                <w:sz w:val="24"/>
                <w:szCs w:val="24"/>
              </w:rPr>
              <w:t>Vizualizācijai</w:t>
            </w:r>
            <w:r>
              <w:rPr>
                <w:rFonts w:ascii="Times New Roman" w:hAnsi="Times New Roman"/>
                <w:color w:val="000000" w:themeColor="text1"/>
                <w:sz w:val="24"/>
                <w:szCs w:val="24"/>
              </w:rPr>
              <w:t xml:space="preserve"> izmantots attēls no: </w:t>
            </w:r>
            <w:hyperlink r:id="rId7" w:history="1">
              <w:r>
                <w:rPr>
                  <w:rStyle w:val="Hyperlink"/>
                  <w:rFonts w:ascii="Times New Roman" w:hAnsi="Times New Roman"/>
                  <w:sz w:val="24"/>
                  <w:szCs w:val="24"/>
                </w:rPr>
                <w:t>www.uptodate.com</w:t>
              </w:r>
            </w:hyperlink>
            <w:r>
              <w:rPr>
                <w:rFonts w:ascii="Times New Roman" w:hAnsi="Times New Roman"/>
                <w:color w:val="000000" w:themeColor="text1"/>
                <w:sz w:val="24"/>
                <w:szCs w:val="24"/>
              </w:rPr>
              <w:t>.</w:t>
            </w:r>
          </w:p>
          <w:bookmarkEnd w:id="1"/>
          <w:p w:rsidR="00D044E3" w14:paraId="267866F1" w14:textId="77777777">
            <w:pPr>
              <w:rPr>
                <w:rFonts w:ascii="Times New Roman" w:hAnsi="Times New Roman"/>
                <w:b/>
                <w:bCs/>
                <w:sz w:val="24"/>
                <w:szCs w:val="24"/>
              </w:rPr>
            </w:pPr>
            <w:r>
              <w:rPr>
                <w:rFonts w:ascii="Times New Roman" w:hAnsi="Times New Roman"/>
                <w:b/>
                <w:bCs/>
                <w:sz w:val="24"/>
                <w:szCs w:val="24"/>
              </w:rPr>
              <w:t>Aknu slimībām var būt  dažādi cēloņi, taču biežākie cēloņi ir:</w:t>
            </w:r>
          </w:p>
          <w:p w:rsidR="00D044E3" w14:paraId="7411F5F4" w14:textId="77777777">
            <w:pPr>
              <w:pStyle w:val="ListParagraph"/>
              <w:numPr>
                <w:ilvl w:val="0"/>
                <w:numId w:val="2"/>
              </w:numPr>
              <w:rPr>
                <w:rFonts w:ascii="Times New Roman" w:hAnsi="Times New Roman"/>
                <w:sz w:val="24"/>
                <w:szCs w:val="24"/>
              </w:rPr>
            </w:pPr>
            <w:r>
              <w:rPr>
                <w:rFonts w:ascii="Times New Roman" w:hAnsi="Times New Roman"/>
                <w:sz w:val="24"/>
                <w:szCs w:val="24"/>
              </w:rPr>
              <w:t xml:space="preserve">infekcijas (piemēram, A hepatīts, B hepatīts, C </w:t>
            </w:r>
            <w:r>
              <w:rPr>
                <w:rFonts w:ascii="Times New Roman" w:hAnsi="Times New Roman"/>
                <w:sz w:val="24"/>
                <w:szCs w:val="24"/>
              </w:rPr>
              <w:t>hepatīts);</w:t>
            </w:r>
          </w:p>
          <w:p w:rsidR="00D044E3" w14:paraId="701579A3" w14:textId="77777777">
            <w:pPr>
              <w:pStyle w:val="ListParagraph"/>
              <w:numPr>
                <w:ilvl w:val="0"/>
                <w:numId w:val="2"/>
              </w:numPr>
              <w:rPr>
                <w:rFonts w:ascii="Times New Roman" w:hAnsi="Times New Roman"/>
                <w:sz w:val="24"/>
                <w:szCs w:val="24"/>
              </w:rPr>
            </w:pPr>
            <w:r>
              <w:rPr>
                <w:rFonts w:ascii="Times New Roman" w:hAnsi="Times New Roman"/>
                <w:sz w:val="24"/>
                <w:szCs w:val="24"/>
              </w:rPr>
              <w:t xml:space="preserve">imūnās sistēmas slimības (piemēram, </w:t>
            </w:r>
            <w:r>
              <w:rPr>
                <w:rFonts w:ascii="Times New Roman" w:hAnsi="Times New Roman"/>
                <w:sz w:val="24"/>
                <w:szCs w:val="24"/>
              </w:rPr>
              <w:t>autoimūns</w:t>
            </w:r>
            <w:r>
              <w:rPr>
                <w:rFonts w:ascii="Times New Roman" w:hAnsi="Times New Roman"/>
                <w:sz w:val="24"/>
                <w:szCs w:val="24"/>
              </w:rPr>
              <w:t xml:space="preserve"> hepatīts, primārs </w:t>
            </w:r>
            <w:r>
              <w:rPr>
                <w:rFonts w:ascii="Times New Roman" w:hAnsi="Times New Roman"/>
                <w:sz w:val="24"/>
                <w:szCs w:val="24"/>
              </w:rPr>
              <w:t>biliārs</w:t>
            </w:r>
            <w:r>
              <w:rPr>
                <w:rFonts w:ascii="Times New Roman" w:hAnsi="Times New Roman"/>
                <w:sz w:val="24"/>
                <w:szCs w:val="24"/>
              </w:rPr>
              <w:t xml:space="preserve"> </w:t>
            </w:r>
            <w:r>
              <w:rPr>
                <w:rFonts w:ascii="Times New Roman" w:hAnsi="Times New Roman"/>
                <w:sz w:val="24"/>
                <w:szCs w:val="24"/>
              </w:rPr>
              <w:t>holangīts</w:t>
            </w:r>
            <w:r>
              <w:rPr>
                <w:rFonts w:ascii="Times New Roman" w:hAnsi="Times New Roman"/>
                <w:sz w:val="24"/>
                <w:szCs w:val="24"/>
              </w:rPr>
              <w:t xml:space="preserve">, primārs </w:t>
            </w:r>
            <w:r>
              <w:rPr>
                <w:rFonts w:ascii="Times New Roman" w:hAnsi="Times New Roman"/>
                <w:sz w:val="24"/>
                <w:szCs w:val="24"/>
              </w:rPr>
              <w:t>sklerozējošs</w:t>
            </w:r>
            <w:r>
              <w:rPr>
                <w:rFonts w:ascii="Times New Roman" w:hAnsi="Times New Roman"/>
                <w:sz w:val="24"/>
                <w:szCs w:val="24"/>
              </w:rPr>
              <w:t xml:space="preserve"> </w:t>
            </w:r>
            <w:r>
              <w:rPr>
                <w:rFonts w:ascii="Times New Roman" w:hAnsi="Times New Roman"/>
                <w:sz w:val="24"/>
                <w:szCs w:val="24"/>
              </w:rPr>
              <w:t>holangīts</w:t>
            </w:r>
            <w:r>
              <w:rPr>
                <w:rFonts w:ascii="Times New Roman" w:hAnsi="Times New Roman"/>
                <w:sz w:val="24"/>
                <w:szCs w:val="24"/>
              </w:rPr>
              <w:t>);</w:t>
            </w:r>
          </w:p>
          <w:p w:rsidR="00D044E3" w14:paraId="02E866EB" w14:textId="77777777">
            <w:pPr>
              <w:pStyle w:val="ListParagraph"/>
              <w:numPr>
                <w:ilvl w:val="0"/>
                <w:numId w:val="2"/>
              </w:numPr>
              <w:rPr>
                <w:rFonts w:ascii="Times New Roman" w:hAnsi="Times New Roman"/>
                <w:sz w:val="24"/>
                <w:szCs w:val="24"/>
              </w:rPr>
            </w:pPr>
            <w:r>
              <w:rPr>
                <w:rFonts w:ascii="Times New Roman" w:hAnsi="Times New Roman"/>
                <w:sz w:val="24"/>
                <w:szCs w:val="24"/>
              </w:rPr>
              <w:t>aknu un žultsvadu audzēji;</w:t>
            </w:r>
          </w:p>
          <w:p w:rsidR="00D044E3" w14:paraId="28C0ECDC" w14:textId="77777777">
            <w:pPr>
              <w:pStyle w:val="ListParagraph"/>
              <w:numPr>
                <w:ilvl w:val="0"/>
                <w:numId w:val="2"/>
              </w:numPr>
              <w:rPr>
                <w:rFonts w:ascii="Times New Roman" w:hAnsi="Times New Roman"/>
                <w:sz w:val="24"/>
                <w:szCs w:val="24"/>
              </w:rPr>
            </w:pPr>
            <w:r>
              <w:rPr>
                <w:rFonts w:ascii="Times New Roman" w:hAnsi="Times New Roman"/>
                <w:sz w:val="24"/>
                <w:szCs w:val="24"/>
              </w:rPr>
              <w:t>pārmērīga alkohola lietošana;</w:t>
            </w:r>
          </w:p>
          <w:p w:rsidR="00D044E3" w14:paraId="0C4B8334" w14:textId="77777777">
            <w:pPr>
              <w:pStyle w:val="ListParagraph"/>
              <w:numPr>
                <w:ilvl w:val="0"/>
                <w:numId w:val="2"/>
              </w:numPr>
              <w:rPr>
                <w:rFonts w:ascii="Times New Roman" w:hAnsi="Times New Roman"/>
                <w:sz w:val="24"/>
                <w:szCs w:val="24"/>
              </w:rPr>
            </w:pPr>
            <w:r>
              <w:rPr>
                <w:rFonts w:ascii="Times New Roman" w:hAnsi="Times New Roman"/>
                <w:sz w:val="24"/>
                <w:szCs w:val="24"/>
              </w:rPr>
              <w:t>medikamenti lietošana, kas veicina aknu bojājumu;</w:t>
            </w:r>
          </w:p>
          <w:p w:rsidR="00D044E3" w14:paraId="47F50CC0" w14:textId="77777777">
            <w:pPr>
              <w:pStyle w:val="ListParagraph"/>
              <w:numPr>
                <w:ilvl w:val="0"/>
                <w:numId w:val="2"/>
              </w:numPr>
              <w:rPr>
                <w:rFonts w:ascii="Times New Roman" w:hAnsi="Times New Roman"/>
                <w:sz w:val="24"/>
                <w:szCs w:val="24"/>
              </w:rPr>
            </w:pPr>
            <w:r>
              <w:rPr>
                <w:rFonts w:ascii="Times New Roman" w:hAnsi="Times New Roman"/>
                <w:sz w:val="24"/>
                <w:szCs w:val="24"/>
              </w:rPr>
              <w:t>ne -alkohola taukainās</w:t>
            </w:r>
            <w:r>
              <w:rPr>
                <w:rFonts w:ascii="Times New Roman" w:hAnsi="Times New Roman"/>
                <w:sz w:val="24"/>
                <w:szCs w:val="24"/>
              </w:rPr>
              <w:t xml:space="preserve"> aknu slimības.</w:t>
            </w:r>
          </w:p>
          <w:p w:rsidR="00D044E3" w14:paraId="1EF6F7B2" w14:textId="77777777">
            <w:pPr>
              <w:rPr>
                <w:rFonts w:ascii="Times New Roman" w:hAnsi="Times New Roman"/>
                <w:sz w:val="24"/>
                <w:szCs w:val="24"/>
              </w:rPr>
            </w:pPr>
            <w:r>
              <w:rPr>
                <w:rFonts w:ascii="Times New Roman" w:hAnsi="Times New Roman"/>
                <w:sz w:val="24"/>
                <w:szCs w:val="24"/>
              </w:rPr>
              <w:t xml:space="preserve">Aknu slimību visnopietnākās sekas ir </w:t>
            </w:r>
            <w:r>
              <w:rPr>
                <w:rFonts w:ascii="Times New Roman" w:hAnsi="Times New Roman"/>
                <w:b/>
                <w:bCs/>
                <w:sz w:val="24"/>
                <w:szCs w:val="24"/>
              </w:rPr>
              <w:t>aknu ciroze</w:t>
            </w:r>
            <w:r>
              <w:rPr>
                <w:rFonts w:ascii="Times New Roman" w:hAnsi="Times New Roman"/>
                <w:sz w:val="24"/>
                <w:szCs w:val="24"/>
              </w:rPr>
              <w:t xml:space="preserve"> -  aknu audu vietā aknās veidojas saistaudi, un aknas nespēj pildīt savas funkcijas.</w:t>
            </w:r>
          </w:p>
          <w:p w:rsidR="00D044E3" w14:paraId="03892842" w14:textId="77777777">
            <w:pPr>
              <w:rPr>
                <w:rFonts w:ascii="Times New Roman" w:hAnsi="Times New Roman"/>
                <w:sz w:val="24"/>
                <w:szCs w:val="24"/>
              </w:rPr>
            </w:pPr>
            <w:r>
              <w:rPr>
                <w:rFonts w:ascii="Times New Roman" w:hAnsi="Times New Roman"/>
                <w:sz w:val="24"/>
                <w:szCs w:val="24"/>
              </w:rPr>
              <w:t xml:space="preserve">Aknu slimībām nav īpašas ierobežojošas diētas. Uzturam jābūt sabalansētam, pilnvērtīgam un dažādam, ņemot </w:t>
            </w:r>
            <w:r>
              <w:rPr>
                <w:rFonts w:ascii="Times New Roman" w:hAnsi="Times New Roman"/>
                <w:sz w:val="24"/>
                <w:szCs w:val="24"/>
              </w:rPr>
              <w:t>vērā LR Veselības ministrijas apstiprinātos veselīga uztura ieteikumus pieaugušajiem (</w:t>
            </w:r>
            <w:hyperlink r:id="rId8" w:history="1">
              <w:r>
                <w:rPr>
                  <w:rStyle w:val="Hyperlink"/>
                  <w:rFonts w:ascii="Times New Roman" w:hAnsi="Times New Roman"/>
                  <w:i/>
                  <w:iCs/>
                  <w:sz w:val="24"/>
                  <w:szCs w:val="24"/>
                </w:rPr>
                <w:t>http://www.vm.gov.lv/images/userfiles/VM_Uztura_ieteik_pieaug.pdf</w:t>
              </w:r>
            </w:hyperlink>
            <w:r>
              <w:rPr>
                <w:rFonts w:ascii="Times New Roman" w:hAnsi="Times New Roman"/>
                <w:sz w:val="24"/>
                <w:szCs w:val="24"/>
              </w:rPr>
              <w:t>).</w:t>
            </w:r>
          </w:p>
          <w:p w:rsidR="00D044E3" w14:paraId="3FDA0F1E" w14:textId="77777777">
            <w:pPr>
              <w:rPr>
                <w:rFonts w:ascii="Times New Roman" w:hAnsi="Times New Roman"/>
                <w:b/>
                <w:bCs/>
                <w:sz w:val="24"/>
                <w:szCs w:val="24"/>
              </w:rPr>
            </w:pPr>
            <w:r>
              <w:rPr>
                <w:rFonts w:ascii="Times New Roman" w:hAnsi="Times New Roman"/>
                <w:b/>
                <w:bCs/>
                <w:sz w:val="24"/>
                <w:szCs w:val="24"/>
              </w:rPr>
              <w:t xml:space="preserve">Uzturs aknu slimību </w:t>
            </w:r>
            <w:r>
              <w:rPr>
                <w:rFonts w:ascii="Times New Roman" w:hAnsi="Times New Roman"/>
                <w:b/>
                <w:bCs/>
                <w:sz w:val="24"/>
                <w:szCs w:val="24"/>
              </w:rPr>
              <w:t xml:space="preserve">gadījumā, kas ir ieteicams papildus veselīga uztura ieteikumiem: </w:t>
            </w:r>
          </w:p>
          <w:p w:rsidR="00D044E3" w14:paraId="2B82D302" w14:textId="77777777">
            <w:pPr>
              <w:rPr>
                <w:rFonts w:ascii="Times New Roman" w:hAnsi="Times New Roman"/>
                <w:b/>
                <w:bCs/>
                <w:sz w:val="24"/>
                <w:szCs w:val="24"/>
              </w:rPr>
            </w:pPr>
            <w:r>
              <w:rPr>
                <w:rFonts w:ascii="Times New Roman" w:hAnsi="Times New Roman"/>
                <w:b/>
                <w:bCs/>
                <w:sz w:val="24"/>
                <w:szCs w:val="24"/>
              </w:rPr>
              <w:t>Vēlamie produkti:</w:t>
            </w:r>
          </w:p>
          <w:p w:rsidR="00D044E3" w14:paraId="54E5B6C9" w14:textId="77777777">
            <w:pPr>
              <w:pStyle w:val="ListParagraph"/>
              <w:numPr>
                <w:ilvl w:val="0"/>
                <w:numId w:val="3"/>
              </w:numPr>
              <w:rPr>
                <w:rFonts w:ascii="Times New Roman" w:hAnsi="Times New Roman"/>
                <w:sz w:val="24"/>
                <w:szCs w:val="24"/>
              </w:rPr>
            </w:pPr>
            <w:r>
              <w:rPr>
                <w:rFonts w:ascii="Times New Roman" w:hAnsi="Times New Roman"/>
                <w:sz w:val="24"/>
                <w:szCs w:val="24"/>
              </w:rPr>
              <w:t>Kafija līdz 3 tasītēm dienā (nav ieteicams lietot kafijas dzērienus ar pievienotu cukuru un pienu, sīrupiem);</w:t>
            </w:r>
          </w:p>
          <w:p w:rsidR="00D044E3" w14:paraId="0BA22CAB" w14:textId="77777777">
            <w:pPr>
              <w:pStyle w:val="ListParagraph"/>
              <w:numPr>
                <w:ilvl w:val="0"/>
                <w:numId w:val="3"/>
              </w:numPr>
              <w:rPr>
                <w:rFonts w:ascii="Times New Roman" w:hAnsi="Times New Roman"/>
                <w:sz w:val="24"/>
                <w:szCs w:val="24"/>
              </w:rPr>
            </w:pPr>
            <w:r>
              <w:rPr>
                <w:rFonts w:ascii="Times New Roman" w:hAnsi="Times New Roman"/>
                <w:sz w:val="24"/>
                <w:szCs w:val="24"/>
              </w:rPr>
              <w:t>Zaļā tēja;</w:t>
            </w:r>
          </w:p>
          <w:p w:rsidR="00D044E3" w14:paraId="679841F5" w14:textId="77777777">
            <w:pPr>
              <w:pStyle w:val="ListParagraph"/>
              <w:numPr>
                <w:ilvl w:val="0"/>
                <w:numId w:val="3"/>
              </w:numPr>
              <w:rPr>
                <w:rFonts w:ascii="Times New Roman" w:hAnsi="Times New Roman"/>
                <w:sz w:val="24"/>
                <w:szCs w:val="24"/>
              </w:rPr>
            </w:pPr>
            <w:r>
              <w:rPr>
                <w:rFonts w:ascii="Times New Roman" w:hAnsi="Times New Roman"/>
                <w:sz w:val="24"/>
                <w:szCs w:val="24"/>
              </w:rPr>
              <w:t>Pilngraudu</w:t>
            </w:r>
            <w:r>
              <w:rPr>
                <w:rFonts w:ascii="Times New Roman" w:hAnsi="Times New Roman"/>
                <w:sz w:val="24"/>
                <w:szCs w:val="24"/>
              </w:rPr>
              <w:t xml:space="preserve"> produkti, piemēram, auzu pārslas, griķi,</w:t>
            </w:r>
            <w:r>
              <w:rPr>
                <w:rFonts w:ascii="Times New Roman" w:hAnsi="Times New Roman"/>
                <w:sz w:val="24"/>
                <w:szCs w:val="24"/>
              </w:rPr>
              <w:t xml:space="preserve"> </w:t>
            </w:r>
            <w:r>
              <w:rPr>
                <w:rFonts w:ascii="Times New Roman" w:hAnsi="Times New Roman"/>
                <w:sz w:val="24"/>
                <w:szCs w:val="24"/>
              </w:rPr>
              <w:t>pilngraudu</w:t>
            </w:r>
            <w:r>
              <w:rPr>
                <w:rFonts w:ascii="Times New Roman" w:hAnsi="Times New Roman"/>
                <w:sz w:val="24"/>
                <w:szCs w:val="24"/>
              </w:rPr>
              <w:t xml:space="preserve"> pārslas, </w:t>
            </w:r>
            <w:r>
              <w:rPr>
                <w:rFonts w:ascii="Times New Roman" w:hAnsi="Times New Roman"/>
                <w:sz w:val="24"/>
                <w:szCs w:val="24"/>
              </w:rPr>
              <w:t>pilngraudu</w:t>
            </w:r>
            <w:r>
              <w:rPr>
                <w:rFonts w:ascii="Times New Roman" w:hAnsi="Times New Roman"/>
                <w:sz w:val="24"/>
                <w:szCs w:val="24"/>
              </w:rPr>
              <w:t xml:space="preserve"> maize;</w:t>
            </w:r>
          </w:p>
          <w:p w:rsidR="00D044E3" w14:paraId="572749CA" w14:textId="77777777">
            <w:pPr>
              <w:pStyle w:val="ListParagraph"/>
              <w:numPr>
                <w:ilvl w:val="0"/>
                <w:numId w:val="3"/>
              </w:numPr>
              <w:rPr>
                <w:rFonts w:ascii="Times New Roman" w:hAnsi="Times New Roman"/>
                <w:sz w:val="24"/>
                <w:szCs w:val="24"/>
              </w:rPr>
            </w:pPr>
            <w:r>
              <w:rPr>
                <w:rFonts w:ascii="Times New Roman" w:hAnsi="Times New Roman"/>
                <w:sz w:val="24"/>
                <w:szCs w:val="24"/>
              </w:rPr>
              <w:t>Visa veida dārzeņi gan svaigā, gan termiski apstrādātā veidā (īpaši ieteicami brokoļi, spināti);</w:t>
            </w:r>
          </w:p>
          <w:p w:rsidR="00D044E3" w14:paraId="1946B8E8" w14:textId="77777777">
            <w:pPr>
              <w:pStyle w:val="ListParagraph"/>
              <w:numPr>
                <w:ilvl w:val="0"/>
                <w:numId w:val="3"/>
              </w:numPr>
              <w:rPr>
                <w:rFonts w:ascii="Times New Roman" w:hAnsi="Times New Roman"/>
                <w:sz w:val="24"/>
                <w:szCs w:val="24"/>
              </w:rPr>
            </w:pPr>
            <w:r>
              <w:rPr>
                <w:rFonts w:ascii="Times New Roman" w:hAnsi="Times New Roman"/>
                <w:sz w:val="24"/>
                <w:szCs w:val="24"/>
              </w:rPr>
              <w:t>Visa veida rieksti (īpaši mandeles);</w:t>
            </w:r>
          </w:p>
          <w:p w:rsidR="00D044E3" w14:paraId="49304CAF" w14:textId="77777777">
            <w:pPr>
              <w:pStyle w:val="ListParagraph"/>
              <w:numPr>
                <w:ilvl w:val="0"/>
                <w:numId w:val="3"/>
              </w:numPr>
              <w:rPr>
                <w:rFonts w:ascii="Times New Roman" w:hAnsi="Times New Roman"/>
                <w:sz w:val="24"/>
                <w:szCs w:val="24"/>
              </w:rPr>
            </w:pPr>
            <w:r>
              <w:rPr>
                <w:rFonts w:ascii="Times New Roman" w:hAnsi="Times New Roman"/>
                <w:sz w:val="24"/>
                <w:szCs w:val="24"/>
              </w:rPr>
              <w:t xml:space="preserve">Garšvielas (oregano, rozmarīns, kanēlis, </w:t>
            </w:r>
            <w:r>
              <w:rPr>
                <w:rFonts w:ascii="Times New Roman" w:hAnsi="Times New Roman"/>
                <w:sz w:val="24"/>
                <w:szCs w:val="24"/>
              </w:rPr>
              <w:t>kumins</w:t>
            </w:r>
            <w:r>
              <w:rPr>
                <w:rFonts w:ascii="Times New Roman" w:hAnsi="Times New Roman"/>
                <w:sz w:val="24"/>
                <w:szCs w:val="24"/>
              </w:rPr>
              <w:t xml:space="preserve">, </w:t>
            </w:r>
            <w:r>
              <w:rPr>
                <w:rFonts w:ascii="Times New Roman" w:hAnsi="Times New Roman"/>
                <w:sz w:val="24"/>
                <w:szCs w:val="24"/>
              </w:rPr>
              <w:t>karijs</w:t>
            </w:r>
            <w:r>
              <w:rPr>
                <w:rFonts w:ascii="Times New Roman" w:hAnsi="Times New Roman"/>
                <w:sz w:val="24"/>
                <w:szCs w:val="24"/>
              </w:rPr>
              <w:t xml:space="preserve"> u.c.);</w:t>
            </w:r>
          </w:p>
          <w:p w:rsidR="00D044E3" w14:paraId="5CFABC73" w14:textId="77777777">
            <w:pPr>
              <w:pStyle w:val="ListParagraph"/>
              <w:numPr>
                <w:ilvl w:val="0"/>
                <w:numId w:val="3"/>
              </w:numPr>
              <w:rPr>
                <w:rFonts w:ascii="Times New Roman" w:hAnsi="Times New Roman"/>
                <w:sz w:val="24"/>
                <w:szCs w:val="24"/>
              </w:rPr>
            </w:pPr>
            <w:r>
              <w:rPr>
                <w:rFonts w:ascii="Times New Roman" w:hAnsi="Times New Roman"/>
                <w:sz w:val="24"/>
                <w:szCs w:val="24"/>
              </w:rPr>
              <w:t xml:space="preserve">Fermentēti </w:t>
            </w:r>
            <w:r>
              <w:rPr>
                <w:rFonts w:ascii="Times New Roman" w:hAnsi="Times New Roman"/>
                <w:sz w:val="24"/>
                <w:szCs w:val="24"/>
              </w:rPr>
              <w:t>piena produkti jeb skābpiena produkti (piemēram,  jogurts, kefīrs, paniņas u.c.).</w:t>
            </w:r>
          </w:p>
          <w:p w:rsidR="00D044E3" w14:paraId="1A1C70AE" w14:textId="77777777">
            <w:pPr>
              <w:rPr>
                <w:rFonts w:ascii="Times New Roman" w:hAnsi="Times New Roman"/>
                <w:sz w:val="24"/>
                <w:szCs w:val="24"/>
              </w:rPr>
            </w:pPr>
            <w:r>
              <w:rPr>
                <w:rFonts w:ascii="Times New Roman" w:hAnsi="Times New Roman"/>
                <w:sz w:val="24"/>
                <w:szCs w:val="24"/>
              </w:rPr>
              <w:t xml:space="preserve">Bieži aknu slimību gadījumā ārsts rekomendē E vitamīna lietošanu. </w:t>
            </w:r>
          </w:p>
          <w:p w:rsidR="00D044E3" w14:paraId="501B8213" w14:textId="77777777">
            <w:pPr>
              <w:rPr>
                <w:rFonts w:ascii="Times New Roman" w:hAnsi="Times New Roman"/>
                <w:b/>
                <w:bCs/>
                <w:sz w:val="24"/>
                <w:szCs w:val="24"/>
              </w:rPr>
            </w:pPr>
            <w:r>
              <w:rPr>
                <w:rFonts w:ascii="Times New Roman" w:hAnsi="Times New Roman"/>
                <w:b/>
                <w:bCs/>
                <w:sz w:val="24"/>
                <w:szCs w:val="24"/>
              </w:rPr>
              <w:t>Nevēlamie produkti uzturā:</w:t>
            </w:r>
          </w:p>
          <w:p w:rsidR="00D044E3" w14:paraId="4A59FBF4" w14:textId="77777777">
            <w:pPr>
              <w:pStyle w:val="ListParagraph"/>
              <w:numPr>
                <w:ilvl w:val="0"/>
                <w:numId w:val="4"/>
              </w:numPr>
              <w:rPr>
                <w:rFonts w:ascii="Times New Roman" w:hAnsi="Times New Roman"/>
                <w:sz w:val="24"/>
                <w:szCs w:val="24"/>
              </w:rPr>
            </w:pPr>
            <w:r>
              <w:rPr>
                <w:rFonts w:ascii="Times New Roman" w:hAnsi="Times New Roman"/>
                <w:sz w:val="24"/>
                <w:szCs w:val="24"/>
              </w:rPr>
              <w:t>Cukurs, saldināti dzērieni, limonādes;</w:t>
            </w:r>
          </w:p>
          <w:p w:rsidR="00D044E3" w14:paraId="79238C70" w14:textId="77777777">
            <w:pPr>
              <w:pStyle w:val="ListParagraph"/>
              <w:numPr>
                <w:ilvl w:val="0"/>
                <w:numId w:val="4"/>
              </w:numPr>
              <w:rPr>
                <w:rFonts w:ascii="Times New Roman" w:hAnsi="Times New Roman"/>
                <w:sz w:val="24"/>
                <w:szCs w:val="24"/>
              </w:rPr>
            </w:pPr>
            <w:r>
              <w:rPr>
                <w:rFonts w:ascii="Times New Roman" w:hAnsi="Times New Roman"/>
                <w:sz w:val="24"/>
                <w:szCs w:val="24"/>
              </w:rPr>
              <w:t xml:space="preserve">“Sliktie”  tauki  - trans tauki un </w:t>
            </w:r>
            <w:r>
              <w:rPr>
                <w:rFonts w:ascii="Times New Roman" w:hAnsi="Times New Roman"/>
                <w:sz w:val="24"/>
                <w:szCs w:val="24"/>
              </w:rPr>
              <w:t>pieasinātie tauki (rūpnieciski pārstrādātie tauki, gaļas izstrādājumi, pārkarsēti tauki);</w:t>
            </w:r>
          </w:p>
          <w:p w:rsidR="00D044E3" w14:paraId="63CFABDB" w14:textId="77777777">
            <w:pPr>
              <w:pStyle w:val="ListParagraph"/>
              <w:numPr>
                <w:ilvl w:val="0"/>
                <w:numId w:val="4"/>
              </w:numPr>
              <w:rPr>
                <w:rFonts w:ascii="Times New Roman" w:hAnsi="Times New Roman"/>
                <w:sz w:val="24"/>
                <w:szCs w:val="24"/>
              </w:rPr>
            </w:pPr>
            <w:r>
              <w:rPr>
                <w:rFonts w:ascii="Times New Roman" w:hAnsi="Times New Roman"/>
                <w:sz w:val="24"/>
                <w:szCs w:val="24"/>
              </w:rPr>
              <w:t>Sāls;</w:t>
            </w:r>
          </w:p>
          <w:p w:rsidR="00D044E3" w14:paraId="3100E479" w14:textId="77777777">
            <w:pPr>
              <w:pStyle w:val="ListParagraph"/>
              <w:numPr>
                <w:ilvl w:val="0"/>
                <w:numId w:val="4"/>
              </w:numPr>
              <w:rPr>
                <w:rFonts w:ascii="Times New Roman" w:hAnsi="Times New Roman"/>
                <w:sz w:val="24"/>
                <w:szCs w:val="24"/>
              </w:rPr>
            </w:pPr>
            <w:r>
              <w:rPr>
                <w:rFonts w:ascii="Times New Roman" w:hAnsi="Times New Roman"/>
                <w:sz w:val="24"/>
                <w:szCs w:val="24"/>
              </w:rPr>
              <w:t>Alkohols (aknu slimību pacientiem alkoholu no uztura ieteicams izslēgt pavisam) pacientu ar aknu slimībām jāizslēdz vispār.</w:t>
            </w:r>
          </w:p>
          <w:p w:rsidR="00D044E3" w14:paraId="0A49CFBA" w14:textId="77777777">
            <w:pPr>
              <w:rPr>
                <w:rFonts w:ascii="Times New Roman" w:hAnsi="Times New Roman"/>
                <w:sz w:val="24"/>
                <w:szCs w:val="24"/>
              </w:rPr>
            </w:pPr>
            <w:r>
              <w:rPr>
                <w:rFonts w:ascii="Times New Roman" w:hAnsi="Times New Roman"/>
                <w:sz w:val="24"/>
                <w:szCs w:val="24"/>
              </w:rPr>
              <w:t>Hronisku aknu slimību gadījumā jāiev</w:t>
            </w:r>
            <w:r>
              <w:rPr>
                <w:rFonts w:ascii="Times New Roman" w:hAnsi="Times New Roman"/>
                <w:sz w:val="24"/>
                <w:szCs w:val="24"/>
              </w:rPr>
              <w:t>ēro p</w:t>
            </w:r>
            <w:r>
              <w:rPr>
                <w:rFonts w:ascii="Times New Roman" w:hAnsi="Times New Roman"/>
                <w:sz w:val="24"/>
                <w:szCs w:val="24"/>
                <w:u w:val="single"/>
              </w:rPr>
              <w:t>iesardzība</w:t>
            </w:r>
            <w:r>
              <w:rPr>
                <w:rFonts w:ascii="Times New Roman" w:hAnsi="Times New Roman"/>
                <w:sz w:val="24"/>
                <w:szCs w:val="24"/>
              </w:rPr>
              <w:t xml:space="preserve">, izvēloties lietot jebkura veida </w:t>
            </w:r>
            <w:r>
              <w:rPr>
                <w:rFonts w:ascii="Times New Roman" w:hAnsi="Times New Roman"/>
                <w:sz w:val="24"/>
                <w:szCs w:val="24"/>
                <w:u w:val="single"/>
              </w:rPr>
              <w:t>uztura bagātinātājus</w:t>
            </w:r>
            <w:r>
              <w:rPr>
                <w:rFonts w:ascii="Times New Roman" w:hAnsi="Times New Roman"/>
                <w:sz w:val="24"/>
                <w:szCs w:val="24"/>
              </w:rPr>
              <w:t>. Pirms jebkura uztura bagātinātāja lietošanas ieteicams konsultēties ar savu ārstējošo ārstu.</w:t>
            </w:r>
          </w:p>
          <w:p w:rsidR="00D044E3" w14:paraId="4CB2B6E9" w14:textId="77777777">
            <w:pPr>
              <w:rPr>
                <w:rFonts w:ascii="Times New Roman" w:hAnsi="Times New Roman"/>
                <w:sz w:val="24"/>
                <w:szCs w:val="24"/>
              </w:rPr>
            </w:pPr>
            <w:r>
              <w:rPr>
                <w:rFonts w:ascii="Times New Roman" w:hAnsi="Times New Roman"/>
                <w:sz w:val="24"/>
                <w:szCs w:val="24"/>
              </w:rPr>
              <w:t>Piesardzībā jāievēro arī, lietojot  lielas A vitamīna (</w:t>
            </w:r>
            <w:r>
              <w:rPr>
                <w:rFonts w:ascii="Times New Roman" w:hAnsi="Times New Roman"/>
                <w:sz w:val="24"/>
                <w:szCs w:val="24"/>
              </w:rPr>
              <w:t>retinola</w:t>
            </w:r>
            <w:r>
              <w:rPr>
                <w:rFonts w:ascii="Times New Roman" w:hAnsi="Times New Roman"/>
                <w:sz w:val="24"/>
                <w:szCs w:val="24"/>
              </w:rPr>
              <w:t xml:space="preserve">) </w:t>
            </w:r>
            <w:r>
              <w:rPr>
                <w:rFonts w:ascii="Times New Roman" w:hAnsi="Times New Roman"/>
                <w:b/>
                <w:bCs/>
                <w:sz w:val="24"/>
                <w:szCs w:val="24"/>
              </w:rPr>
              <w:t>devas preparātu veidā</w:t>
            </w:r>
            <w:r>
              <w:rPr>
                <w:rFonts w:ascii="Times New Roman" w:hAnsi="Times New Roman"/>
                <w:sz w:val="24"/>
                <w:szCs w:val="24"/>
              </w:rPr>
              <w:t>, taču</w:t>
            </w:r>
            <w:r>
              <w:rPr>
                <w:rFonts w:ascii="Times New Roman" w:hAnsi="Times New Roman"/>
                <w:sz w:val="24"/>
                <w:szCs w:val="24"/>
              </w:rPr>
              <w:t xml:space="preserve"> aknu darbības traucējumus nerada </w:t>
            </w:r>
            <w:r>
              <w:rPr>
                <w:rFonts w:ascii="Times New Roman" w:hAnsi="Times New Roman"/>
                <w:sz w:val="24"/>
                <w:szCs w:val="24"/>
              </w:rPr>
              <w:t>karotenoīdu</w:t>
            </w:r>
            <w:r>
              <w:rPr>
                <w:rFonts w:ascii="Times New Roman" w:hAnsi="Times New Roman"/>
                <w:sz w:val="24"/>
                <w:szCs w:val="24"/>
              </w:rPr>
              <w:t xml:space="preserve"> (A vitamīna </w:t>
            </w:r>
            <w:r>
              <w:rPr>
                <w:rFonts w:ascii="Times New Roman" w:hAnsi="Times New Roman"/>
                <w:sz w:val="24"/>
                <w:szCs w:val="24"/>
              </w:rPr>
              <w:t>provitamīna</w:t>
            </w:r>
            <w:r>
              <w:rPr>
                <w:rFonts w:ascii="Times New Roman" w:hAnsi="Times New Roman"/>
                <w:sz w:val="24"/>
                <w:szCs w:val="24"/>
              </w:rPr>
              <w:t>)  saturošu pārtikas produktu lietošana (piemēram, burkāni, ķirbji, apelsīni u.c. )</w:t>
            </w:r>
          </w:p>
          <w:p w:rsidR="00D044E3" w14:paraId="7F1FE627" w14:textId="77777777">
            <w:pPr>
              <w:rPr>
                <w:rFonts w:ascii="Times New Roman" w:hAnsi="Times New Roman"/>
                <w:sz w:val="24"/>
                <w:szCs w:val="24"/>
              </w:rPr>
            </w:pPr>
            <w:r>
              <w:rPr>
                <w:rFonts w:ascii="Times New Roman" w:hAnsi="Times New Roman"/>
                <w:sz w:val="24"/>
                <w:szCs w:val="24"/>
              </w:rPr>
              <w:t>Bieži aknu slimību gadījumā dažādos informācijas avotos rekomendē stingrus uztura ierobežojumus</w:t>
            </w:r>
            <w:r>
              <w:rPr>
                <w:rFonts w:ascii="Times New Roman" w:hAnsi="Times New Roman"/>
                <w:b/>
                <w:bCs/>
                <w:sz w:val="24"/>
                <w:szCs w:val="24"/>
              </w:rPr>
              <w:t>, taču š</w:t>
            </w:r>
            <w:r>
              <w:rPr>
                <w:rFonts w:ascii="Times New Roman" w:hAnsi="Times New Roman"/>
                <w:b/>
                <w:bCs/>
                <w:sz w:val="24"/>
                <w:szCs w:val="24"/>
              </w:rPr>
              <w:t>ādi ieteikumi nav zinātniski pamatoti.</w:t>
            </w:r>
            <w:r>
              <w:rPr>
                <w:rFonts w:ascii="Times New Roman" w:hAnsi="Times New Roman"/>
                <w:sz w:val="24"/>
                <w:szCs w:val="24"/>
              </w:rPr>
              <w:t xml:space="preserve">  Uztura ierobežojumi var kaitēt vispārējam veselības stāvoklim un aknu funkcijām. </w:t>
            </w:r>
            <w:r>
              <w:rPr>
                <w:rFonts w:ascii="Times New Roman" w:hAnsi="Times New Roman"/>
                <w:b/>
                <w:bCs/>
                <w:sz w:val="24"/>
                <w:szCs w:val="24"/>
              </w:rPr>
              <w:t>Alkohols ir vienīgā pierādītā viela, ko uzņem ar uzturu, kas bojā aknas un ir aizliedzama aknu traucējumu gadījumos.</w:t>
            </w:r>
          </w:p>
          <w:p w:rsidR="00D044E3" w14:paraId="05CD5A63" w14:textId="77777777">
            <w:pPr>
              <w:rPr>
                <w:rFonts w:ascii="Times New Roman" w:hAnsi="Times New Roman"/>
                <w:sz w:val="24"/>
                <w:szCs w:val="24"/>
              </w:rPr>
            </w:pPr>
            <w:r>
              <w:rPr>
                <w:rFonts w:ascii="Times New Roman" w:hAnsi="Times New Roman"/>
                <w:sz w:val="24"/>
                <w:szCs w:val="24"/>
              </w:rPr>
              <w:t>Nereti aknu darbīb</w:t>
            </w:r>
            <w:r>
              <w:rPr>
                <w:rFonts w:ascii="Times New Roman" w:hAnsi="Times New Roman"/>
                <w:sz w:val="24"/>
                <w:szCs w:val="24"/>
              </w:rPr>
              <w:t xml:space="preserve">as traucējumi veidojas svara samazinošu medikamentu un uztura bagātinātāju lietošanas dēļ. Līdz ar to, ja ir aptaukošanās, vai virssvars, tad svars ir jāmazina speciālista uzraudzībā. </w:t>
            </w:r>
          </w:p>
          <w:p w:rsidR="00D044E3" w14:paraId="321130F4" w14:textId="77777777">
            <w:pPr>
              <w:rPr>
                <w:rFonts w:ascii="Times New Roman" w:hAnsi="Times New Roman"/>
                <w:sz w:val="24"/>
                <w:szCs w:val="24"/>
              </w:rPr>
            </w:pPr>
            <w:r>
              <w:rPr>
                <w:rFonts w:ascii="Times New Roman" w:hAnsi="Times New Roman"/>
                <w:sz w:val="24"/>
                <w:szCs w:val="24"/>
              </w:rPr>
              <w:t>Ilgstoši slimojot ar hronisku aknu slimību un slimībai progresējot, att</w:t>
            </w:r>
            <w:r>
              <w:rPr>
                <w:rFonts w:ascii="Times New Roman" w:hAnsi="Times New Roman"/>
                <w:sz w:val="24"/>
                <w:szCs w:val="24"/>
              </w:rPr>
              <w:t xml:space="preserve">īstās </w:t>
            </w:r>
            <w:r>
              <w:rPr>
                <w:rFonts w:ascii="Times New Roman" w:hAnsi="Times New Roman"/>
                <w:b/>
                <w:bCs/>
                <w:sz w:val="24"/>
                <w:szCs w:val="24"/>
              </w:rPr>
              <w:t>malnutrīcija</w:t>
            </w:r>
            <w:r>
              <w:rPr>
                <w:rFonts w:ascii="Times New Roman" w:hAnsi="Times New Roman"/>
                <w:b/>
                <w:bCs/>
                <w:sz w:val="24"/>
                <w:szCs w:val="24"/>
              </w:rPr>
              <w:t>.</w:t>
            </w:r>
            <w:r>
              <w:rPr>
                <w:rFonts w:ascii="Times New Roman" w:hAnsi="Times New Roman"/>
                <w:sz w:val="24"/>
                <w:szCs w:val="24"/>
              </w:rPr>
              <w:t xml:space="preserve"> </w:t>
            </w:r>
          </w:p>
          <w:p w:rsidR="00D044E3" w14:paraId="588FC1D4" w14:textId="77777777">
            <w:pPr>
              <w:rPr>
                <w:rFonts w:ascii="Times New Roman" w:hAnsi="Times New Roman"/>
                <w:sz w:val="24"/>
                <w:szCs w:val="24"/>
              </w:rPr>
            </w:pPr>
            <w:r>
              <w:rPr>
                <w:rFonts w:ascii="Times New Roman" w:hAnsi="Times New Roman"/>
                <w:sz w:val="24"/>
                <w:szCs w:val="24"/>
              </w:rPr>
              <w:t>Malnutrīcija</w:t>
            </w:r>
            <w:r>
              <w:rPr>
                <w:rFonts w:ascii="Times New Roman" w:hAnsi="Times New Roman"/>
                <w:sz w:val="24"/>
                <w:szCs w:val="24"/>
              </w:rPr>
              <w:t xml:space="preserve"> veidojas, ja ar uzturu netiek uzņemtas vai neuzsūcas nepieciešamās uzturvielas, tiek zaudēts svars (vai svars nemainās vai svars pieaug šķidruma aiztures dēļ) un tiek zaudēta muskuļu masa.</w:t>
            </w:r>
          </w:p>
          <w:p w:rsidR="00D044E3" w14:paraId="1E0BBCE8" w14:textId="77777777">
            <w:pPr>
              <w:rPr>
                <w:rFonts w:ascii="Times New Roman" w:hAnsi="Times New Roman"/>
                <w:iCs/>
                <w:sz w:val="24"/>
                <w:szCs w:val="24"/>
              </w:rPr>
            </w:pPr>
            <w:r>
              <w:rPr>
                <w:rFonts w:ascii="Times New Roman" w:hAnsi="Times New Roman"/>
                <w:iCs/>
                <w:sz w:val="24"/>
                <w:szCs w:val="24"/>
              </w:rPr>
              <w:t>Malnutrīcijas</w:t>
            </w:r>
            <w:r>
              <w:rPr>
                <w:rFonts w:ascii="Times New Roman" w:hAnsi="Times New Roman"/>
                <w:iCs/>
                <w:sz w:val="24"/>
                <w:szCs w:val="24"/>
              </w:rPr>
              <w:t xml:space="preserve"> gadījumā  īpaša uzm</w:t>
            </w:r>
            <w:r>
              <w:rPr>
                <w:rFonts w:ascii="Times New Roman" w:hAnsi="Times New Roman"/>
                <w:iCs/>
                <w:sz w:val="24"/>
                <w:szCs w:val="24"/>
              </w:rPr>
              <w:t>anība jāpievērš pilnvērtīgam uzturam, jāpalielina kopējā ar uzturu uzņemtā enerģētiskā vērtība. Maltītes jāietur bieži (3 maltītes un 3 uzkodas dienā). Vienas no svarīgākajām ēdienreizēm ir vēlās  uzkodas  pēc vakariņām (kas satur gan olbaltumvielas, gan o</w:t>
            </w:r>
            <w:r>
              <w:rPr>
                <w:rFonts w:ascii="Times New Roman" w:hAnsi="Times New Roman"/>
                <w:iCs/>
                <w:sz w:val="24"/>
                <w:szCs w:val="24"/>
              </w:rPr>
              <w:t xml:space="preserve">gļhidrātus), lai izvairītos liela laika intervāla starp vakariņām un brokastīm. </w:t>
            </w:r>
          </w:p>
          <w:p w:rsidR="00D044E3" w14:paraId="435AD06C" w14:textId="77777777">
            <w:pPr>
              <w:rPr>
                <w:rFonts w:ascii="Times New Roman" w:hAnsi="Times New Roman"/>
                <w:iCs/>
                <w:sz w:val="24"/>
                <w:szCs w:val="24"/>
              </w:rPr>
            </w:pPr>
            <w:r>
              <w:rPr>
                <w:rFonts w:ascii="Times New Roman" w:hAnsi="Times New Roman"/>
                <w:iCs/>
                <w:sz w:val="24"/>
                <w:szCs w:val="24"/>
              </w:rPr>
              <w:t>Malnutrīcijas</w:t>
            </w:r>
            <w:r>
              <w:rPr>
                <w:rFonts w:ascii="Times New Roman" w:hAnsi="Times New Roman"/>
                <w:iCs/>
                <w:sz w:val="24"/>
                <w:szCs w:val="24"/>
              </w:rPr>
              <w:t xml:space="preserve"> gadījumā ir svarīgi palielināt olbaltumvielu saturošu produktu daudzums uzturā. </w:t>
            </w:r>
          </w:p>
          <w:p w:rsidR="00D044E3" w14:paraId="0DFA854C" w14:textId="77777777">
            <w:pPr>
              <w:rPr>
                <w:rFonts w:ascii="Times New Roman" w:hAnsi="Times New Roman"/>
                <w:bCs/>
                <w:iCs/>
                <w:sz w:val="24"/>
                <w:szCs w:val="24"/>
              </w:rPr>
            </w:pPr>
            <w:r>
              <w:rPr>
                <w:rFonts w:ascii="Times New Roman" w:hAnsi="Times New Roman"/>
                <w:iCs/>
                <w:sz w:val="24"/>
                <w:szCs w:val="24"/>
              </w:rPr>
              <w:t>Pietiekams olbaltumvielu daudzums uzturā nodrošina muskuļu masas un imunitātes s</w:t>
            </w:r>
            <w:r>
              <w:rPr>
                <w:rFonts w:ascii="Times New Roman" w:hAnsi="Times New Roman"/>
                <w:iCs/>
                <w:sz w:val="24"/>
                <w:szCs w:val="24"/>
              </w:rPr>
              <w:t xml:space="preserve">aglabāšanu. Ikdienā ir jāuzņem vidēji 90 g olbaltumvielu  dienā, taču katram ir savs nepieciešamais olbaltumvielu daudzums, ko  aprēķina individuāli.  </w:t>
            </w:r>
          </w:p>
          <w:p w:rsidR="00D044E3" w14:paraId="5ED861B7" w14:textId="77777777">
            <w:pPr>
              <w:rPr>
                <w:rFonts w:ascii="Times New Roman" w:hAnsi="Times New Roman"/>
                <w:iCs/>
                <w:sz w:val="24"/>
                <w:szCs w:val="24"/>
              </w:rPr>
            </w:pPr>
            <w:r>
              <w:rPr>
                <w:rFonts w:ascii="Times New Roman" w:hAnsi="Times New Roman"/>
                <w:iCs/>
                <w:sz w:val="24"/>
                <w:szCs w:val="24"/>
              </w:rPr>
              <w:t xml:space="preserve">Daudz </w:t>
            </w:r>
            <w:r>
              <w:rPr>
                <w:rFonts w:ascii="Times New Roman" w:hAnsi="Times New Roman"/>
                <w:b/>
                <w:bCs/>
                <w:iCs/>
                <w:sz w:val="24"/>
                <w:szCs w:val="24"/>
              </w:rPr>
              <w:t>olbaltumvielu</w:t>
            </w:r>
            <w:r>
              <w:rPr>
                <w:rFonts w:ascii="Times New Roman" w:hAnsi="Times New Roman"/>
                <w:iCs/>
                <w:sz w:val="24"/>
                <w:szCs w:val="24"/>
              </w:rPr>
              <w:t xml:space="preserve"> satur, piemēram, zivis, gaļa, piena produkti un olas. Olbaltumvielas vēlams uzņemt k</w:t>
            </w:r>
            <w:r>
              <w:rPr>
                <w:rFonts w:ascii="Times New Roman" w:hAnsi="Times New Roman"/>
                <w:iCs/>
                <w:sz w:val="24"/>
                <w:szCs w:val="24"/>
              </w:rPr>
              <w:t xml:space="preserve">atrā ēdienreizē. </w:t>
            </w:r>
          </w:p>
          <w:p w:rsidR="00D044E3" w14:paraId="2E2990A8" w14:textId="77777777">
            <w:pPr>
              <w:rPr>
                <w:rFonts w:ascii="Times New Roman" w:hAnsi="Times New Roman"/>
                <w:iCs/>
                <w:sz w:val="24"/>
                <w:szCs w:val="24"/>
              </w:rPr>
            </w:pPr>
            <w:r>
              <w:rPr>
                <w:rFonts w:ascii="Times New Roman" w:hAnsi="Times New Roman"/>
                <w:iCs/>
                <w:sz w:val="24"/>
                <w:szCs w:val="24"/>
              </w:rPr>
              <w:t>Olbaltumvielu daudzums porcijā:</w:t>
            </w:r>
          </w:p>
          <w:p w:rsidR="00D044E3" w14:paraId="0B9F5B72" w14:textId="77777777">
            <w:pPr>
              <w:numPr>
                <w:ilvl w:val="0"/>
                <w:numId w:val="5"/>
              </w:numPr>
              <w:rPr>
                <w:rFonts w:ascii="Times New Roman" w:hAnsi="Times New Roman"/>
                <w:iCs/>
                <w:sz w:val="24"/>
                <w:szCs w:val="24"/>
              </w:rPr>
            </w:pPr>
            <w:r>
              <w:rPr>
                <w:rFonts w:ascii="Times New Roman" w:hAnsi="Times New Roman"/>
                <w:iCs/>
                <w:sz w:val="24"/>
                <w:szCs w:val="24"/>
              </w:rPr>
              <w:t>100g pagatavotas gaļas satur 30 – 35g olbaltumvielu (Ieteicams dot priekšroku putnu gaļas filejai);</w:t>
            </w:r>
          </w:p>
          <w:p w:rsidR="00D044E3" w14:paraId="7B83D2CB" w14:textId="77777777">
            <w:pPr>
              <w:numPr>
                <w:ilvl w:val="0"/>
                <w:numId w:val="5"/>
              </w:numPr>
              <w:rPr>
                <w:rFonts w:ascii="Times New Roman" w:hAnsi="Times New Roman"/>
                <w:iCs/>
                <w:sz w:val="24"/>
                <w:szCs w:val="24"/>
              </w:rPr>
            </w:pPr>
            <w:r>
              <w:rPr>
                <w:rFonts w:ascii="Times New Roman" w:hAnsi="Times New Roman"/>
                <w:iCs/>
                <w:sz w:val="24"/>
                <w:szCs w:val="24"/>
              </w:rPr>
              <w:t>120g pagatavotas zivs satur 25 – 30g olbaltumvielu;</w:t>
            </w:r>
          </w:p>
          <w:p w:rsidR="00D044E3" w14:paraId="0B3AA04C" w14:textId="77777777">
            <w:pPr>
              <w:numPr>
                <w:ilvl w:val="0"/>
                <w:numId w:val="5"/>
              </w:numPr>
              <w:rPr>
                <w:rFonts w:ascii="Times New Roman" w:hAnsi="Times New Roman"/>
                <w:iCs/>
                <w:sz w:val="24"/>
                <w:szCs w:val="24"/>
              </w:rPr>
            </w:pPr>
            <w:r>
              <w:rPr>
                <w:rFonts w:ascii="Times New Roman" w:hAnsi="Times New Roman"/>
                <w:iCs/>
                <w:sz w:val="24"/>
                <w:szCs w:val="24"/>
              </w:rPr>
              <w:t>100g vājpiena biezpiens satur 16-18g olbaltumvielu;</w:t>
            </w:r>
          </w:p>
          <w:p w:rsidR="00D044E3" w14:paraId="63244279" w14:textId="77777777">
            <w:pPr>
              <w:numPr>
                <w:ilvl w:val="0"/>
                <w:numId w:val="5"/>
              </w:numPr>
              <w:rPr>
                <w:rFonts w:ascii="Times New Roman" w:hAnsi="Times New Roman"/>
                <w:iCs/>
                <w:sz w:val="24"/>
                <w:szCs w:val="24"/>
              </w:rPr>
            </w:pPr>
            <w:r>
              <w:rPr>
                <w:rFonts w:ascii="Times New Roman" w:hAnsi="Times New Roman"/>
                <w:iCs/>
                <w:sz w:val="24"/>
                <w:szCs w:val="24"/>
              </w:rPr>
              <w:t xml:space="preserve">1 </w:t>
            </w:r>
            <w:r>
              <w:rPr>
                <w:rFonts w:ascii="Times New Roman" w:hAnsi="Times New Roman"/>
                <w:iCs/>
                <w:sz w:val="24"/>
                <w:szCs w:val="24"/>
              </w:rPr>
              <w:t>ola satur 6 g olbaltumvielu;</w:t>
            </w:r>
          </w:p>
          <w:p w:rsidR="00D044E3" w14:paraId="01170503" w14:textId="77777777">
            <w:pPr>
              <w:numPr>
                <w:ilvl w:val="0"/>
                <w:numId w:val="5"/>
              </w:numPr>
              <w:rPr>
                <w:rFonts w:ascii="Times New Roman" w:hAnsi="Times New Roman"/>
                <w:iCs/>
                <w:sz w:val="24"/>
                <w:szCs w:val="24"/>
              </w:rPr>
            </w:pPr>
            <w:r>
              <w:rPr>
                <w:rFonts w:ascii="Times New Roman" w:hAnsi="Times New Roman"/>
                <w:iCs/>
                <w:sz w:val="24"/>
                <w:szCs w:val="24"/>
              </w:rPr>
              <w:t xml:space="preserve">glāze (250 ml) piena vai skābpiena dzēriena (kefīrs, paniņas, dabīgais </w:t>
            </w:r>
            <w:r>
              <w:rPr>
                <w:rFonts w:ascii="Times New Roman" w:hAnsi="Times New Roman"/>
                <w:iCs/>
                <w:sz w:val="24"/>
                <w:szCs w:val="24"/>
              </w:rPr>
              <w:t>bezpiedevu</w:t>
            </w:r>
            <w:r>
              <w:rPr>
                <w:rFonts w:ascii="Times New Roman" w:hAnsi="Times New Roman"/>
                <w:iCs/>
                <w:sz w:val="24"/>
                <w:szCs w:val="24"/>
              </w:rPr>
              <w:t xml:space="preserve"> jogurts) satur 8g olbaltumvielu;</w:t>
            </w:r>
          </w:p>
          <w:p w:rsidR="00D044E3" w14:paraId="6B27EA87" w14:textId="77777777">
            <w:pPr>
              <w:numPr>
                <w:ilvl w:val="0"/>
                <w:numId w:val="5"/>
              </w:numPr>
              <w:rPr>
                <w:rFonts w:ascii="Times New Roman" w:hAnsi="Times New Roman"/>
                <w:iCs/>
                <w:sz w:val="24"/>
                <w:szCs w:val="24"/>
              </w:rPr>
            </w:pPr>
            <w:r>
              <w:rPr>
                <w:rFonts w:ascii="Times New Roman" w:hAnsi="Times New Roman"/>
                <w:iCs/>
                <w:sz w:val="24"/>
                <w:szCs w:val="24"/>
              </w:rPr>
              <w:t xml:space="preserve">glāze (250 ml) jogurta ar palielinātu olbaltumvielu daudzumu (kefīrs, paniņas, dabīgais jogurts) satur 20-22 g olbaltumvielu. </w:t>
            </w:r>
          </w:p>
          <w:p w:rsidR="00D044E3" w14:paraId="755D1DD9" w14:textId="77777777">
            <w:pPr>
              <w:rPr>
                <w:rFonts w:ascii="Times New Roman" w:hAnsi="Times New Roman"/>
                <w:sz w:val="24"/>
                <w:szCs w:val="24"/>
              </w:rPr>
            </w:pPr>
            <w:r>
              <w:rPr>
                <w:rFonts w:ascii="Times New Roman" w:hAnsi="Times New Roman"/>
                <w:sz w:val="24"/>
                <w:szCs w:val="24"/>
              </w:rPr>
              <w:t>Lai nodrošinātu pilnvērtīga uztura uzņemšanu un samazinātu svara zuduma risku, ārstējošais ārsts var Jums rekomendēt lietot speci</w:t>
            </w:r>
            <w:r>
              <w:rPr>
                <w:rFonts w:ascii="Times New Roman" w:hAnsi="Times New Roman"/>
                <w:sz w:val="24"/>
                <w:szCs w:val="24"/>
              </w:rPr>
              <w:t xml:space="preserve">ālo </w:t>
            </w:r>
            <w:r>
              <w:rPr>
                <w:rFonts w:ascii="Times New Roman" w:hAnsi="Times New Roman"/>
                <w:b/>
                <w:bCs/>
                <w:sz w:val="24"/>
                <w:szCs w:val="24"/>
              </w:rPr>
              <w:t xml:space="preserve">medicīnisko </w:t>
            </w:r>
            <w:r>
              <w:rPr>
                <w:rFonts w:ascii="Times New Roman" w:hAnsi="Times New Roman"/>
                <w:b/>
                <w:bCs/>
                <w:sz w:val="24"/>
                <w:szCs w:val="24"/>
              </w:rPr>
              <w:t>papilduzturu</w:t>
            </w:r>
            <w:r>
              <w:rPr>
                <w:rFonts w:ascii="Times New Roman" w:hAnsi="Times New Roman"/>
                <w:sz w:val="24"/>
                <w:szCs w:val="24"/>
              </w:rPr>
              <w:t xml:space="preserve"> - rūpnieciski ražotos maisījumus, kas satur galvenās nepieciešamās uzturvielas – daudz olbaltumvielu, nepieciešamajā daudzumā ogļhidrātus, taukus, kā arī vitamīnus un minerālvielas. Bieži ārsts rekomendēs  papildus uzņemt arī v</w:t>
            </w:r>
            <w:r>
              <w:rPr>
                <w:rFonts w:ascii="Times New Roman" w:hAnsi="Times New Roman"/>
                <w:sz w:val="24"/>
                <w:szCs w:val="24"/>
              </w:rPr>
              <w:t>itamīnu un minerālvielu preparātus.</w:t>
            </w:r>
          </w:p>
          <w:p w:rsidR="00D044E3" w14:paraId="104F0D4A" w14:textId="77777777">
            <w:pPr>
              <w:rPr>
                <w:rFonts w:ascii="Times New Roman" w:hAnsi="Times New Roman"/>
                <w:color w:val="000000" w:themeColor="text1"/>
                <w:sz w:val="24"/>
                <w:szCs w:val="24"/>
              </w:rPr>
            </w:pPr>
            <w:r>
              <w:rPr>
                <w:rFonts w:ascii="Times New Roman" w:hAnsi="Times New Roman"/>
                <w:sz w:val="24"/>
                <w:szCs w:val="24"/>
              </w:rPr>
              <w:t xml:space="preserve">Ja aknu slimības komplikācija ir </w:t>
            </w:r>
            <w:r>
              <w:rPr>
                <w:rFonts w:ascii="Times New Roman" w:hAnsi="Times New Roman"/>
                <w:b/>
                <w:bCs/>
                <w:sz w:val="24"/>
                <w:szCs w:val="24"/>
              </w:rPr>
              <w:t>aknu encefalopātija vai smadzeņu bojājums</w:t>
            </w:r>
            <w:r>
              <w:rPr>
                <w:rFonts w:ascii="Times New Roman" w:hAnsi="Times New Roman"/>
                <w:sz w:val="24"/>
                <w:szCs w:val="24"/>
              </w:rPr>
              <w:t xml:space="preserve">, </w:t>
            </w:r>
            <w:r>
              <w:rPr>
                <w:rFonts w:ascii="Times New Roman" w:hAnsi="Times New Roman"/>
                <w:sz w:val="24"/>
                <w:szCs w:val="24"/>
              </w:rPr>
              <w:t>ieteicams samazināt  dzīvnieku valsts olbaltumvielu (piemēram, gaļu, zivis, olas) un palielināt augu valsts olbaltumvielu (piemēram, lēcu, citus</w:t>
            </w:r>
            <w:r>
              <w:rPr>
                <w:rFonts w:ascii="Times New Roman" w:hAnsi="Times New Roman"/>
                <w:sz w:val="24"/>
                <w:szCs w:val="24"/>
              </w:rPr>
              <w:t xml:space="preserve"> pākšaugu) uzņemšanu uzturā, taču nav ieteicams samazināt kopējo ar uzturu uzņemto olbaltumvielu daudzumu uzturā. </w:t>
            </w:r>
            <w:r>
              <w:rPr>
                <w:rFonts w:ascii="Times New Roman" w:hAnsi="Times New Roman"/>
                <w:b/>
                <w:bCs/>
                <w:sz w:val="24"/>
                <w:szCs w:val="24"/>
              </w:rPr>
              <w:t xml:space="preserve"> Pirms diētas izmaiņām noteikti  konsultējieties ar savu ārstējošo ārstu, dietologu vai uztura speciālistu.</w:t>
            </w:r>
          </w:p>
        </w:tc>
      </w:tr>
      <w:tr w14:paraId="3565D1A4" w14:textId="77777777">
        <w:tblPrEx>
          <w:tblW w:w="0" w:type="auto"/>
          <w:tblLook w:val="04A0"/>
        </w:tblPrEx>
        <w:tc>
          <w:tcPr>
            <w:tcW w:w="8522" w:type="dxa"/>
            <w:gridSpan w:val="3"/>
            <w:tcBorders>
              <w:top w:val="nil"/>
              <w:tl2br w:val="nil"/>
              <w:tr2bl w:val="nil"/>
            </w:tcBorders>
          </w:tcPr>
          <w:p w:rsidR="00D044E3" w14:paraId="583CF3E7" w14:textId="77777777">
            <w:pPr>
              <w:spacing w:line="276" w:lineRule="auto"/>
              <w:rPr>
                <w:rFonts w:ascii="Times New Roman" w:hAnsi="Times New Roman"/>
                <w:b/>
                <w:bCs/>
                <w:color w:val="000000" w:themeColor="text1"/>
                <w:sz w:val="24"/>
                <w:szCs w:val="24"/>
              </w:rPr>
            </w:pPr>
          </w:p>
        </w:tc>
      </w:tr>
      <w:tr w14:paraId="17B91A12" w14:textId="77777777">
        <w:tblPrEx>
          <w:tblW w:w="0" w:type="auto"/>
          <w:tblLook w:val="04A0"/>
        </w:tblPrEx>
        <w:tc>
          <w:tcPr>
            <w:tcW w:w="8522" w:type="dxa"/>
            <w:gridSpan w:val="3"/>
            <w:tcBorders>
              <w:tl2br w:val="nil"/>
              <w:tr2bl w:val="nil"/>
            </w:tcBorders>
          </w:tcPr>
          <w:p w:rsidR="00D044E3" w14:paraId="1E284990" w14:textId="77777777">
            <w:pPr>
              <w:pStyle w:val="ListBullet"/>
              <w:numPr>
                <w:ilvl w:val="0"/>
                <w:numId w:val="0"/>
              </w:numPr>
              <w:rPr>
                <w:rFonts w:ascii="Times New Roman" w:hAnsi="Times New Roman"/>
                <w:bCs/>
                <w:sz w:val="24"/>
                <w:szCs w:val="24"/>
              </w:rPr>
            </w:pPr>
            <w:r>
              <w:rPr>
                <w:rFonts w:ascii="Times New Roman" w:hAnsi="Times New Roman"/>
                <w:bCs/>
                <w:sz w:val="24"/>
                <w:szCs w:val="24"/>
              </w:rPr>
              <w:t xml:space="preserve">Ieteikumi sagatavoti </w:t>
            </w:r>
            <w:r>
              <w:rPr>
                <w:rFonts w:ascii="Times New Roman" w:hAnsi="Times New Roman"/>
                <w:bCs/>
                <w:sz w:val="24"/>
                <w:szCs w:val="24"/>
              </w:rPr>
              <w:t xml:space="preserve">sadarbībā ar Rīgas Stradiņa universitātes asoc. prof., </w:t>
            </w:r>
            <w:r>
              <w:rPr>
                <w:rFonts w:ascii="Times New Roman" w:hAnsi="Times New Roman"/>
                <w:bCs/>
                <w:sz w:val="24"/>
                <w:szCs w:val="24"/>
              </w:rPr>
              <w:t>P.Stradiņa</w:t>
            </w:r>
            <w:r>
              <w:rPr>
                <w:rFonts w:ascii="Times New Roman" w:hAnsi="Times New Roman"/>
                <w:bCs/>
                <w:sz w:val="24"/>
                <w:szCs w:val="24"/>
              </w:rPr>
              <w:t xml:space="preserve"> klīniskās universitātes slimnīcas dietoloģi,  Latvijas </w:t>
            </w:r>
            <w:r>
              <w:rPr>
                <w:rFonts w:ascii="Times New Roman" w:hAnsi="Times New Roman"/>
                <w:bCs/>
                <w:sz w:val="24"/>
                <w:szCs w:val="24"/>
              </w:rPr>
              <w:t>Uzturzinātnes</w:t>
            </w:r>
            <w:r>
              <w:rPr>
                <w:rFonts w:ascii="Times New Roman" w:hAnsi="Times New Roman"/>
                <w:bCs/>
                <w:sz w:val="24"/>
                <w:szCs w:val="24"/>
              </w:rPr>
              <w:t xml:space="preserve"> speciālistu biedrības valdes priekšsēdētāju </w:t>
            </w:r>
            <w:r>
              <w:rPr>
                <w:rFonts w:ascii="Times New Roman" w:hAnsi="Times New Roman"/>
                <w:bCs/>
                <w:sz w:val="24"/>
                <w:szCs w:val="24"/>
              </w:rPr>
              <w:t>Dr.Lailu</w:t>
            </w:r>
            <w:r>
              <w:rPr>
                <w:rFonts w:ascii="Times New Roman" w:hAnsi="Times New Roman"/>
                <w:bCs/>
                <w:sz w:val="24"/>
                <w:szCs w:val="24"/>
              </w:rPr>
              <w:t xml:space="preserve"> Meiju. Informatīvajā materiālā iekļautā informācija ir saskaņota ar </w:t>
            </w:r>
            <w:r>
              <w:rPr>
                <w:rFonts w:ascii="Times New Roman" w:hAnsi="Times New Roman"/>
                <w:bCs/>
                <w:sz w:val="24"/>
                <w:szCs w:val="24"/>
              </w:rPr>
              <w:t xml:space="preserve">Latvijas </w:t>
            </w:r>
            <w:r>
              <w:rPr>
                <w:rFonts w:ascii="Times New Roman" w:hAnsi="Times New Roman"/>
                <w:bCs/>
                <w:sz w:val="24"/>
                <w:szCs w:val="24"/>
              </w:rPr>
              <w:t>Gastroenterologu</w:t>
            </w:r>
            <w:r>
              <w:rPr>
                <w:rFonts w:ascii="Times New Roman" w:hAnsi="Times New Roman"/>
                <w:bCs/>
                <w:sz w:val="24"/>
                <w:szCs w:val="24"/>
              </w:rPr>
              <w:t xml:space="preserve"> asociāciju un Latvijas Ķirurgu asociāciju.</w:t>
            </w:r>
          </w:p>
          <w:p w:rsidR="00D044E3" w14:paraId="0A9AC9A5" w14:textId="77777777">
            <w:pPr>
              <w:pStyle w:val="Parasts"/>
              <w:pBdr>
                <w:top w:val="nil"/>
              </w:pBdr>
              <w:spacing w:line="216" w:lineRule="auto"/>
              <w:rPr>
                <w:rFonts w:ascii="Times New Roman" w:hAnsi="Times New Roman"/>
                <w:bCs/>
                <w:i/>
                <w:sz w:val="24"/>
                <w:szCs w:val="24"/>
                <w:lang w:val="en-US"/>
              </w:rPr>
            </w:pPr>
            <w:r>
              <w:rPr>
                <w:rFonts w:ascii="Times New Roman" w:hAnsi="Times New Roman"/>
                <w:bCs/>
                <w:i/>
                <w:sz w:val="24"/>
                <w:szCs w:val="24"/>
                <w:lang w:val="lv-LV"/>
              </w:rPr>
              <w:t>Rekomendācijas ir vispārīgas. Katram cilvēkam ir savas individuālās uztura vajadzības, ņemot vērā slimības smagumu, citas slimības, produktu nepanesību, lietotos medikamentus, vecumu, dzi</w:t>
            </w:r>
            <w:r>
              <w:rPr>
                <w:rFonts w:ascii="Times New Roman" w:hAnsi="Times New Roman"/>
                <w:bCs/>
                <w:i/>
                <w:sz w:val="24"/>
                <w:szCs w:val="24"/>
                <w:lang w:val="lv-LV"/>
              </w:rPr>
              <w:t xml:space="preserve">mumu, fizisko aktivitāti u.c. faktorus. </w:t>
            </w:r>
            <w:r>
              <w:rPr>
                <w:rFonts w:ascii="Times New Roman" w:hAnsi="Times New Roman"/>
                <w:bCs/>
                <w:i/>
                <w:sz w:val="24"/>
                <w:szCs w:val="24"/>
                <w:lang w:val="en-US"/>
              </w:rPr>
              <w:t xml:space="preserve">Lai </w:t>
            </w:r>
            <w:r>
              <w:rPr>
                <w:rFonts w:ascii="Times New Roman" w:hAnsi="Times New Roman"/>
                <w:bCs/>
                <w:i/>
                <w:sz w:val="24"/>
                <w:szCs w:val="24"/>
                <w:lang w:val="en-US"/>
              </w:rPr>
              <w:t>saņemtu</w:t>
            </w:r>
            <w:r>
              <w:rPr>
                <w:rFonts w:ascii="Times New Roman" w:hAnsi="Times New Roman"/>
                <w:bCs/>
                <w:i/>
                <w:sz w:val="24"/>
                <w:szCs w:val="24"/>
                <w:lang w:val="en-US"/>
              </w:rPr>
              <w:t xml:space="preserve"> </w:t>
            </w:r>
            <w:r>
              <w:rPr>
                <w:rFonts w:ascii="Times New Roman" w:hAnsi="Times New Roman"/>
                <w:bCs/>
                <w:i/>
                <w:sz w:val="24"/>
                <w:szCs w:val="24"/>
                <w:lang w:val="en-US"/>
              </w:rPr>
              <w:t>individuālas</w:t>
            </w:r>
            <w:r>
              <w:rPr>
                <w:rFonts w:ascii="Times New Roman" w:hAnsi="Times New Roman"/>
                <w:bCs/>
                <w:i/>
                <w:sz w:val="24"/>
                <w:szCs w:val="24"/>
                <w:lang w:val="en-US"/>
              </w:rPr>
              <w:t xml:space="preserve"> </w:t>
            </w:r>
            <w:r>
              <w:rPr>
                <w:rFonts w:ascii="Times New Roman" w:hAnsi="Times New Roman"/>
                <w:bCs/>
                <w:i/>
                <w:sz w:val="24"/>
                <w:szCs w:val="24"/>
                <w:lang w:val="en-US"/>
              </w:rPr>
              <w:t>rekomendācijas</w:t>
            </w:r>
            <w:r>
              <w:rPr>
                <w:rFonts w:ascii="Times New Roman" w:hAnsi="Times New Roman"/>
                <w:bCs/>
                <w:i/>
                <w:sz w:val="24"/>
                <w:szCs w:val="24"/>
                <w:lang w:val="en-US"/>
              </w:rPr>
              <w:t xml:space="preserve">, </w:t>
            </w:r>
            <w:r>
              <w:rPr>
                <w:rFonts w:ascii="Times New Roman" w:hAnsi="Times New Roman"/>
                <w:bCs/>
                <w:i/>
                <w:sz w:val="24"/>
                <w:szCs w:val="24"/>
                <w:lang w:val="en-US"/>
              </w:rPr>
              <w:t>konsultējaties</w:t>
            </w:r>
            <w:r>
              <w:rPr>
                <w:rFonts w:ascii="Times New Roman" w:hAnsi="Times New Roman"/>
                <w:bCs/>
                <w:i/>
                <w:sz w:val="24"/>
                <w:szCs w:val="24"/>
                <w:lang w:val="en-US"/>
              </w:rPr>
              <w:t xml:space="preserve"> </w:t>
            </w:r>
            <w:r>
              <w:rPr>
                <w:rFonts w:ascii="Times New Roman" w:hAnsi="Times New Roman"/>
                <w:bCs/>
                <w:i/>
                <w:sz w:val="24"/>
                <w:szCs w:val="24"/>
                <w:lang w:val="en-US"/>
              </w:rPr>
              <w:t>ar</w:t>
            </w:r>
            <w:r>
              <w:rPr>
                <w:rFonts w:ascii="Times New Roman" w:hAnsi="Times New Roman"/>
                <w:bCs/>
                <w:i/>
                <w:sz w:val="24"/>
                <w:szCs w:val="24"/>
                <w:lang w:val="en-US"/>
              </w:rPr>
              <w:t xml:space="preserve"> </w:t>
            </w:r>
            <w:r>
              <w:rPr>
                <w:rFonts w:ascii="Times New Roman" w:hAnsi="Times New Roman"/>
                <w:bCs/>
                <w:i/>
                <w:sz w:val="24"/>
                <w:szCs w:val="24"/>
                <w:lang w:val="en-US"/>
              </w:rPr>
              <w:t>dietologu</w:t>
            </w:r>
            <w:r>
              <w:rPr>
                <w:rFonts w:ascii="Times New Roman" w:hAnsi="Times New Roman"/>
                <w:bCs/>
                <w:i/>
                <w:sz w:val="24"/>
                <w:szCs w:val="24"/>
                <w:lang w:val="en-US"/>
              </w:rPr>
              <w:t xml:space="preserve"> </w:t>
            </w:r>
            <w:r>
              <w:rPr>
                <w:rFonts w:ascii="Times New Roman" w:hAnsi="Times New Roman"/>
                <w:bCs/>
                <w:i/>
                <w:sz w:val="24"/>
                <w:szCs w:val="24"/>
                <w:lang w:val="en-US"/>
              </w:rPr>
              <w:t>vai</w:t>
            </w:r>
            <w:r>
              <w:rPr>
                <w:rFonts w:ascii="Times New Roman" w:hAnsi="Times New Roman"/>
                <w:bCs/>
                <w:i/>
                <w:sz w:val="24"/>
                <w:szCs w:val="24"/>
                <w:lang w:val="en-US"/>
              </w:rPr>
              <w:t xml:space="preserve"> </w:t>
            </w:r>
            <w:r>
              <w:rPr>
                <w:rFonts w:ascii="Times New Roman" w:hAnsi="Times New Roman"/>
                <w:bCs/>
                <w:i/>
                <w:sz w:val="24"/>
                <w:szCs w:val="24"/>
                <w:lang w:val="en-US"/>
              </w:rPr>
              <w:t>uztura</w:t>
            </w:r>
            <w:r>
              <w:rPr>
                <w:rFonts w:ascii="Times New Roman" w:hAnsi="Times New Roman"/>
                <w:bCs/>
                <w:i/>
                <w:sz w:val="24"/>
                <w:szCs w:val="24"/>
                <w:lang w:val="en-US"/>
              </w:rPr>
              <w:t xml:space="preserve"> </w:t>
            </w:r>
            <w:r>
              <w:rPr>
                <w:rFonts w:ascii="Times New Roman" w:hAnsi="Times New Roman"/>
                <w:bCs/>
                <w:i/>
                <w:sz w:val="24"/>
                <w:szCs w:val="24"/>
                <w:lang w:val="en-US"/>
              </w:rPr>
              <w:t>speciālistu</w:t>
            </w:r>
            <w:r>
              <w:rPr>
                <w:rFonts w:ascii="Times New Roman" w:hAnsi="Times New Roman"/>
                <w:bCs/>
                <w:i/>
                <w:sz w:val="24"/>
                <w:szCs w:val="24"/>
                <w:lang w:val="en-US"/>
              </w:rPr>
              <w:t>.</w:t>
            </w:r>
          </w:p>
          <w:p w:rsidR="00D044E3" w14:paraId="6F36787C" w14:textId="77777777">
            <w:pPr>
              <w:pStyle w:val="Parasts"/>
              <w:pBdr>
                <w:top w:val="nil"/>
              </w:pBdr>
              <w:spacing w:line="216" w:lineRule="auto"/>
              <w:rPr>
                <w:rFonts w:ascii="Times New Roman" w:hAnsi="Times New Roman"/>
                <w:bCs/>
                <w:i/>
                <w:sz w:val="24"/>
                <w:szCs w:val="24"/>
                <w:lang w:val="en-US"/>
              </w:rPr>
            </w:pPr>
          </w:p>
        </w:tc>
      </w:tr>
      <w:tr w14:paraId="68FA4FFC" w14:textId="77777777">
        <w:tblPrEx>
          <w:tblW w:w="0" w:type="auto"/>
          <w:tblLook w:val="04A0"/>
        </w:tblPrEx>
        <w:tc>
          <w:tcPr>
            <w:tcW w:w="8522" w:type="dxa"/>
            <w:gridSpan w:val="3"/>
            <w:tcBorders>
              <w:tl2br w:val="nil"/>
              <w:tr2bl w:val="nil"/>
            </w:tcBorders>
          </w:tcPr>
          <w:p w:rsidR="00D044E3" w14:paraId="3329E31B" w14:textId="7777777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b/>
                <w:bCs/>
                <w:sz w:val="24"/>
                <w:szCs w:val="24"/>
              </w:rPr>
              <w:t>Izmantotās literatūras avoti:</w:t>
            </w:r>
          </w:p>
        </w:tc>
      </w:tr>
      <w:tr w14:paraId="72A60565" w14:textId="77777777">
        <w:tblPrEx>
          <w:tblW w:w="0" w:type="auto"/>
          <w:tblLook w:val="04A0"/>
        </w:tblPrEx>
        <w:tc>
          <w:tcPr>
            <w:tcW w:w="8522" w:type="dxa"/>
            <w:gridSpan w:val="3"/>
            <w:tcBorders>
              <w:tl2br w:val="nil"/>
              <w:tr2bl w:val="nil"/>
            </w:tcBorders>
          </w:tcPr>
          <w:p w:rsidR="00D044E3" w14:paraId="65DB53D5" w14:textId="77777777">
            <w:pPr>
              <w:pStyle w:val="ListParagraph"/>
              <w:numPr>
                <w:ilvl w:val="0"/>
                <w:numId w:val="6"/>
              </w:numPr>
              <w:rPr>
                <w:rFonts w:ascii="Times New Roman" w:hAnsi="Times New Roman"/>
              </w:rPr>
            </w:pPr>
            <w:r>
              <w:rPr>
                <w:rFonts w:ascii="Times New Roman" w:eastAsia="Times New Roman" w:hAnsi="Times New Roman"/>
                <w:color w:val="444444"/>
                <w:spacing w:val="-4"/>
                <w:shd w:val="clear" w:color="auto" w:fill="FFFFFF"/>
                <w:lang w:eastAsia="en-GB"/>
              </w:rPr>
              <w:t>WebMD</w:t>
            </w:r>
            <w:r>
              <w:rPr>
                <w:rFonts w:ascii="Times New Roman" w:eastAsia="Times New Roman" w:hAnsi="Times New Roman"/>
                <w:color w:val="444444"/>
                <w:spacing w:val="-4"/>
                <w:shd w:val="clear" w:color="auto" w:fill="FFFFFF"/>
                <w:lang w:eastAsia="en-GB"/>
              </w:rPr>
              <w:t xml:space="preserve"> </w:t>
            </w:r>
            <w:r>
              <w:rPr>
                <w:rFonts w:ascii="Times New Roman" w:eastAsia="Times New Roman" w:hAnsi="Times New Roman"/>
                <w:color w:val="444444"/>
                <w:spacing w:val="-4"/>
                <w:shd w:val="clear" w:color="auto" w:fill="FFFFFF"/>
                <w:lang w:eastAsia="en-GB"/>
              </w:rPr>
              <w:t>Medical</w:t>
            </w:r>
            <w:r>
              <w:rPr>
                <w:rFonts w:ascii="Times New Roman" w:eastAsia="Times New Roman" w:hAnsi="Times New Roman"/>
                <w:color w:val="444444"/>
                <w:spacing w:val="-4"/>
                <w:shd w:val="clear" w:color="auto" w:fill="FFFFFF"/>
                <w:lang w:eastAsia="en-GB"/>
              </w:rPr>
              <w:t xml:space="preserve"> Reference </w:t>
            </w:r>
            <w:r>
              <w:rPr>
                <w:rFonts w:ascii="Times New Roman" w:eastAsia="Times New Roman" w:hAnsi="Times New Roman"/>
                <w:color w:val="444444"/>
                <w:spacing w:val="-4"/>
                <w:shd w:val="clear" w:color="auto" w:fill="FFFFFF"/>
                <w:lang w:eastAsia="en-GB"/>
              </w:rPr>
              <w:t>Reviewed</w:t>
            </w:r>
            <w:r>
              <w:rPr>
                <w:rFonts w:ascii="Times New Roman" w:eastAsia="Times New Roman" w:hAnsi="Times New Roman"/>
                <w:color w:val="444444"/>
                <w:spacing w:val="-4"/>
                <w:shd w:val="clear" w:color="auto" w:fill="FFFFFF"/>
                <w:lang w:eastAsia="en-GB"/>
              </w:rPr>
              <w:t xml:space="preserve"> </w:t>
            </w:r>
            <w:r>
              <w:rPr>
                <w:rFonts w:ascii="Times New Roman" w:eastAsia="Times New Roman" w:hAnsi="Times New Roman"/>
                <w:color w:val="444444"/>
                <w:spacing w:val="-4"/>
                <w:shd w:val="clear" w:color="auto" w:fill="FFFFFF"/>
                <w:lang w:eastAsia="en-GB"/>
              </w:rPr>
              <w:t>by</w:t>
            </w:r>
            <w:r>
              <w:rPr>
                <w:rFonts w:ascii="Times New Roman" w:eastAsia="Times New Roman" w:hAnsi="Times New Roman"/>
                <w:color w:val="444444"/>
                <w:spacing w:val="-4"/>
                <w:shd w:val="clear" w:color="auto" w:fill="FFFFFF"/>
                <w:lang w:eastAsia="en-GB"/>
              </w:rPr>
              <w:t> </w:t>
            </w:r>
            <w:hyperlink r:id="rId9" w:history="1">
              <w:r>
                <w:rPr>
                  <w:rFonts w:ascii="Times New Roman" w:eastAsia="Times New Roman" w:hAnsi="Times New Roman"/>
                  <w:color w:val="187AAB"/>
                  <w:spacing w:val="-4"/>
                  <w:u w:val="single"/>
                  <w:lang w:eastAsia="en-GB"/>
                </w:rPr>
                <w:t>Minesh Khatri, MD</w:t>
              </w:r>
            </w:hyperlink>
            <w:r>
              <w:rPr>
                <w:rFonts w:ascii="Times New Roman" w:eastAsia="Times New Roman" w:hAnsi="Times New Roman"/>
                <w:color w:val="444444"/>
                <w:spacing w:val="-4"/>
                <w:shd w:val="clear" w:color="auto" w:fill="FFFFFF"/>
                <w:lang w:eastAsia="en-GB"/>
              </w:rPr>
              <w:t> </w:t>
            </w:r>
            <w:r>
              <w:rPr>
                <w:rFonts w:ascii="Times New Roman" w:eastAsia="Times New Roman" w:hAnsi="Times New Roman"/>
                <w:color w:val="444444"/>
                <w:spacing w:val="-4"/>
                <w:shd w:val="clear" w:color="auto" w:fill="FFFFFF"/>
                <w:lang w:eastAsia="en-GB"/>
              </w:rPr>
              <w:t>on</w:t>
            </w:r>
            <w:r>
              <w:rPr>
                <w:rFonts w:ascii="Times New Roman" w:eastAsia="Times New Roman" w:hAnsi="Times New Roman"/>
                <w:color w:val="444444"/>
                <w:spacing w:val="-4"/>
                <w:shd w:val="clear" w:color="auto" w:fill="FFFFFF"/>
                <w:lang w:eastAsia="en-GB"/>
              </w:rPr>
              <w:t xml:space="preserve"> </w:t>
            </w:r>
            <w:r>
              <w:rPr>
                <w:rFonts w:ascii="Times New Roman" w:eastAsia="Times New Roman" w:hAnsi="Times New Roman"/>
                <w:color w:val="444444"/>
                <w:spacing w:val="-4"/>
                <w:shd w:val="clear" w:color="auto" w:fill="FFFFFF"/>
                <w:lang w:eastAsia="en-GB"/>
              </w:rPr>
              <w:t>December</w:t>
            </w:r>
            <w:r>
              <w:rPr>
                <w:rFonts w:ascii="Times New Roman" w:eastAsia="Times New Roman" w:hAnsi="Times New Roman"/>
                <w:color w:val="444444"/>
                <w:spacing w:val="-4"/>
                <w:shd w:val="clear" w:color="auto" w:fill="FFFFFF"/>
                <w:lang w:eastAsia="en-GB"/>
              </w:rPr>
              <w:t xml:space="preserve"> 16, 2018, </w:t>
            </w:r>
            <w:hyperlink r:id="rId10" w:history="1">
              <w:r>
                <w:rPr>
                  <w:rStyle w:val="Hyperlink"/>
                  <w:rFonts w:ascii="Times New Roman" w:hAnsi="Times New Roman"/>
                </w:rPr>
                <w:t>https://www.webmd.com/hepatitis/liver-and-hepatic-diseases</w:t>
              </w:r>
            </w:hyperlink>
          </w:p>
          <w:p w:rsidR="00D044E3" w14:paraId="2A2BF1B0" w14:textId="77777777">
            <w:pPr>
              <w:pStyle w:val="ListParagraph"/>
              <w:numPr>
                <w:ilvl w:val="0"/>
                <w:numId w:val="6"/>
              </w:numPr>
              <w:rPr>
                <w:rFonts w:ascii="Times New Roman" w:eastAsia="Times New Roman" w:hAnsi="Times New Roman"/>
                <w:lang w:eastAsia="en-GB"/>
              </w:rPr>
            </w:pPr>
            <w:r>
              <w:rPr>
                <w:rFonts w:ascii="Times New Roman" w:eastAsia="Times New Roman" w:hAnsi="Times New Roman"/>
                <w:color w:val="232323"/>
                <w:shd w:val="clear" w:color="auto" w:fill="FFFFFF"/>
                <w:lang w:eastAsia="en-GB"/>
              </w:rPr>
              <w:t>UpToDate</w:t>
            </w:r>
            <w:r>
              <w:rPr>
                <w:rFonts w:ascii="Times New Roman" w:eastAsia="Times New Roman" w:hAnsi="Times New Roman"/>
                <w:color w:val="232323"/>
                <w:shd w:val="clear" w:color="auto" w:fill="FFFFFF"/>
                <w:lang w:eastAsia="en-GB"/>
              </w:rPr>
              <w:t xml:space="preserve"> </w:t>
            </w:r>
            <w:r>
              <w:rPr>
                <w:rFonts w:ascii="Times New Roman" w:eastAsia="Times New Roman" w:hAnsi="Times New Roman"/>
                <w:color w:val="232323"/>
                <w:shd w:val="clear" w:color="auto" w:fill="FFFFFF"/>
                <w:lang w:eastAsia="en-GB"/>
              </w:rPr>
              <w:t>Tandon</w:t>
            </w:r>
            <w:r>
              <w:rPr>
                <w:rFonts w:ascii="Times New Roman" w:eastAsia="Times New Roman" w:hAnsi="Times New Roman"/>
                <w:color w:val="232323"/>
                <w:shd w:val="clear" w:color="auto" w:fill="FFFFFF"/>
                <w:lang w:eastAsia="en-GB"/>
              </w:rPr>
              <w:t xml:space="preserve"> P, </w:t>
            </w:r>
            <w:r>
              <w:rPr>
                <w:rFonts w:ascii="Times New Roman" w:eastAsia="Times New Roman" w:hAnsi="Times New Roman"/>
                <w:color w:val="232323"/>
                <w:shd w:val="clear" w:color="auto" w:fill="FFFFFF"/>
                <w:lang w:eastAsia="en-GB"/>
              </w:rPr>
              <w:t>Seres</w:t>
            </w:r>
            <w:r>
              <w:rPr>
                <w:rFonts w:ascii="Times New Roman" w:eastAsia="Times New Roman" w:hAnsi="Times New Roman"/>
                <w:color w:val="232323"/>
                <w:shd w:val="clear" w:color="auto" w:fill="FFFFFF"/>
                <w:lang w:eastAsia="en-GB"/>
              </w:rPr>
              <w:t xml:space="preserve"> D, </w:t>
            </w:r>
            <w:r>
              <w:rPr>
                <w:rFonts w:ascii="Times New Roman" w:eastAsia="Times New Roman" w:hAnsi="Times New Roman"/>
                <w:color w:val="232323"/>
                <w:shd w:val="clear" w:color="auto" w:fill="FFFFFF"/>
                <w:lang w:eastAsia="en-GB"/>
              </w:rPr>
              <w:t>Nu</w:t>
            </w:r>
            <w:r>
              <w:rPr>
                <w:rFonts w:ascii="Times New Roman" w:eastAsia="Times New Roman" w:hAnsi="Times New Roman"/>
                <w:color w:val="232323"/>
                <w:shd w:val="clear" w:color="auto" w:fill="FFFFFF"/>
                <w:lang w:eastAsia="en-GB"/>
              </w:rPr>
              <w:t>tritional</w:t>
            </w:r>
            <w:r>
              <w:rPr>
                <w:rFonts w:ascii="Times New Roman" w:eastAsia="Times New Roman" w:hAnsi="Times New Roman"/>
                <w:color w:val="232323"/>
                <w:shd w:val="clear" w:color="auto" w:fill="FFFFFF"/>
                <w:lang w:eastAsia="en-GB"/>
              </w:rPr>
              <w:t xml:space="preserve"> </w:t>
            </w:r>
            <w:r>
              <w:rPr>
                <w:rFonts w:ascii="Times New Roman" w:eastAsia="Times New Roman" w:hAnsi="Times New Roman"/>
                <w:color w:val="232323"/>
                <w:shd w:val="clear" w:color="auto" w:fill="FFFFFF"/>
                <w:lang w:eastAsia="en-GB"/>
              </w:rPr>
              <w:t>assessment</w:t>
            </w:r>
            <w:r>
              <w:rPr>
                <w:rFonts w:ascii="Times New Roman" w:eastAsia="Times New Roman" w:hAnsi="Times New Roman"/>
                <w:color w:val="232323"/>
                <w:shd w:val="clear" w:color="auto" w:fill="FFFFFF"/>
                <w:lang w:eastAsia="en-GB"/>
              </w:rPr>
              <w:t xml:space="preserve"> </w:t>
            </w:r>
            <w:r>
              <w:rPr>
                <w:rFonts w:ascii="Times New Roman" w:eastAsia="Times New Roman" w:hAnsi="Times New Roman"/>
                <w:color w:val="232323"/>
                <w:shd w:val="clear" w:color="auto" w:fill="FFFFFF"/>
                <w:lang w:eastAsia="en-GB"/>
              </w:rPr>
              <w:t>in</w:t>
            </w:r>
            <w:r>
              <w:rPr>
                <w:rFonts w:ascii="Times New Roman" w:eastAsia="Times New Roman" w:hAnsi="Times New Roman"/>
                <w:color w:val="232323"/>
                <w:shd w:val="clear" w:color="auto" w:fill="FFFFFF"/>
                <w:lang w:eastAsia="en-GB"/>
              </w:rPr>
              <w:t xml:space="preserve"> </w:t>
            </w:r>
            <w:r>
              <w:rPr>
                <w:rFonts w:ascii="Times New Roman" w:eastAsia="Times New Roman" w:hAnsi="Times New Roman"/>
                <w:color w:val="232323"/>
                <w:shd w:val="clear" w:color="auto" w:fill="FFFFFF"/>
                <w:lang w:eastAsia="en-GB"/>
              </w:rPr>
              <w:t>chronic</w:t>
            </w:r>
            <w:r>
              <w:rPr>
                <w:rFonts w:ascii="Times New Roman" w:eastAsia="Times New Roman" w:hAnsi="Times New Roman"/>
                <w:color w:val="232323"/>
                <w:shd w:val="clear" w:color="auto" w:fill="FFFFFF"/>
                <w:lang w:eastAsia="en-GB"/>
              </w:rPr>
              <w:t xml:space="preserve"> </w:t>
            </w:r>
            <w:r>
              <w:rPr>
                <w:rFonts w:ascii="Times New Roman" w:eastAsia="Times New Roman" w:hAnsi="Times New Roman"/>
                <w:color w:val="232323"/>
                <w:shd w:val="clear" w:color="auto" w:fill="FFFFFF"/>
                <w:lang w:eastAsia="en-GB"/>
              </w:rPr>
              <w:t>liver</w:t>
            </w:r>
            <w:r>
              <w:rPr>
                <w:rFonts w:ascii="Times New Roman" w:eastAsia="Times New Roman" w:hAnsi="Times New Roman"/>
                <w:color w:val="232323"/>
                <w:shd w:val="clear" w:color="auto" w:fill="FFFFFF"/>
                <w:lang w:eastAsia="en-GB"/>
              </w:rPr>
              <w:t xml:space="preserve"> </w:t>
            </w:r>
            <w:r>
              <w:rPr>
                <w:rFonts w:ascii="Times New Roman" w:eastAsia="Times New Roman" w:hAnsi="Times New Roman"/>
                <w:color w:val="232323"/>
                <w:shd w:val="clear" w:color="auto" w:fill="FFFFFF"/>
                <w:lang w:eastAsia="en-GB"/>
              </w:rPr>
              <w:t>disease</w:t>
            </w:r>
            <w:r>
              <w:rPr>
                <w:rFonts w:ascii="Times New Roman" w:eastAsia="Times New Roman" w:hAnsi="Times New Roman"/>
                <w:color w:val="232323"/>
                <w:shd w:val="clear" w:color="auto" w:fill="FFFFFF"/>
                <w:lang w:eastAsia="en-GB"/>
              </w:rPr>
              <w:t xml:space="preserve">, 2020 </w:t>
            </w:r>
            <w:hyperlink r:id="rId11" w:history="1">
              <w:r>
                <w:rPr>
                  <w:rStyle w:val="Hyperlink"/>
                  <w:rFonts w:ascii="Times New Roman" w:eastAsia="Times New Roman" w:hAnsi="Times New Roman"/>
                  <w:shd w:val="clear" w:color="auto" w:fill="FFFFFF"/>
                  <w:lang w:eastAsia="en-GB"/>
                </w:rPr>
                <w:t>https://www-uptodate-com.db.rsu.lv/contents/nutritional-assessment-in-chronic-liver-disease</w:t>
              </w:r>
            </w:hyperlink>
          </w:p>
          <w:p w:rsidR="00D044E3" w14:paraId="72E3C892" w14:textId="77777777">
            <w:pPr>
              <w:pStyle w:val="ListParagraph"/>
              <w:numPr>
                <w:ilvl w:val="0"/>
                <w:numId w:val="6"/>
              </w:numPr>
              <w:rPr>
                <w:rFonts w:ascii="Times New Roman" w:eastAsia="Times New Roman" w:hAnsi="Times New Roman"/>
                <w:lang w:eastAsia="en-GB"/>
              </w:rPr>
            </w:pPr>
            <w:r>
              <w:rPr>
                <w:rFonts w:ascii="Times New Roman" w:eastAsia="Times New Roman" w:hAnsi="Times New Roman"/>
                <w:lang w:eastAsia="en-GB"/>
              </w:rPr>
              <w:t>Euro</w:t>
            </w:r>
            <w:r>
              <w:rPr>
                <w:rFonts w:ascii="Times New Roman" w:eastAsia="Times New Roman" w:hAnsi="Times New Roman"/>
                <w:lang w:eastAsia="en-GB"/>
              </w:rPr>
              <w:t>pean</w:t>
            </w:r>
            <w:r>
              <w:rPr>
                <w:rFonts w:ascii="Times New Roman" w:eastAsia="Times New Roman" w:hAnsi="Times New Roman"/>
                <w:lang w:eastAsia="en-GB"/>
              </w:rPr>
              <w:t xml:space="preserve"> Association </w:t>
            </w:r>
            <w:r>
              <w:rPr>
                <w:rFonts w:ascii="Times New Roman" w:eastAsia="Times New Roman" w:hAnsi="Times New Roman"/>
                <w:lang w:eastAsia="en-GB"/>
              </w:rPr>
              <w:t>for</w:t>
            </w:r>
            <w:r>
              <w:rPr>
                <w:rFonts w:ascii="Times New Roman" w:eastAsia="Times New Roman" w:hAnsi="Times New Roman"/>
                <w:lang w:eastAsia="en-GB"/>
              </w:rPr>
              <w:t xml:space="preserve"> </w:t>
            </w:r>
            <w:r>
              <w:rPr>
                <w:rFonts w:ascii="Times New Roman" w:eastAsia="Times New Roman" w:hAnsi="Times New Roman"/>
                <w:lang w:eastAsia="en-GB"/>
              </w:rPr>
              <w:t>the</w:t>
            </w:r>
            <w:r>
              <w:rPr>
                <w:rFonts w:ascii="Times New Roman" w:eastAsia="Times New Roman" w:hAnsi="Times New Roman"/>
                <w:lang w:eastAsia="en-GB"/>
              </w:rPr>
              <w:t xml:space="preserve"> </w:t>
            </w:r>
            <w:r>
              <w:rPr>
                <w:rFonts w:ascii="Times New Roman" w:eastAsia="Times New Roman" w:hAnsi="Times New Roman"/>
                <w:lang w:eastAsia="en-GB"/>
              </w:rPr>
              <w:t>Study</w:t>
            </w:r>
            <w:r>
              <w:rPr>
                <w:rFonts w:ascii="Times New Roman" w:eastAsia="Times New Roman" w:hAnsi="Times New Roman"/>
                <w:lang w:eastAsia="en-GB"/>
              </w:rPr>
              <w:t xml:space="preserve"> </w:t>
            </w:r>
            <w:r>
              <w:rPr>
                <w:rFonts w:ascii="Times New Roman" w:eastAsia="Times New Roman" w:hAnsi="Times New Roman"/>
                <w:lang w:eastAsia="en-GB"/>
              </w:rPr>
              <w:t>of</w:t>
            </w:r>
            <w:r>
              <w:rPr>
                <w:rFonts w:ascii="Times New Roman" w:eastAsia="Times New Roman" w:hAnsi="Times New Roman"/>
                <w:lang w:eastAsia="en-GB"/>
              </w:rPr>
              <w:t xml:space="preserve"> </w:t>
            </w:r>
            <w:r>
              <w:rPr>
                <w:rFonts w:ascii="Times New Roman" w:eastAsia="Times New Roman" w:hAnsi="Times New Roman"/>
                <w:lang w:eastAsia="en-GB"/>
              </w:rPr>
              <w:t>the</w:t>
            </w:r>
            <w:r>
              <w:rPr>
                <w:rFonts w:ascii="Times New Roman" w:eastAsia="Times New Roman" w:hAnsi="Times New Roman"/>
                <w:lang w:eastAsia="en-GB"/>
              </w:rPr>
              <w:t xml:space="preserve"> </w:t>
            </w:r>
            <w:r>
              <w:rPr>
                <w:rFonts w:ascii="Times New Roman" w:eastAsia="Times New Roman" w:hAnsi="Times New Roman"/>
                <w:lang w:eastAsia="en-GB"/>
              </w:rPr>
              <w:t>Liver</w:t>
            </w:r>
            <w:r>
              <w:rPr>
                <w:rFonts w:ascii="Times New Roman" w:eastAsia="Times New Roman" w:hAnsi="Times New Roman"/>
                <w:lang w:eastAsia="en-GB"/>
              </w:rPr>
              <w:t xml:space="preserve">. (2019). EASL </w:t>
            </w:r>
            <w:r>
              <w:rPr>
                <w:rFonts w:ascii="Times New Roman" w:eastAsia="Times New Roman" w:hAnsi="Times New Roman"/>
                <w:lang w:eastAsia="en-GB"/>
              </w:rPr>
              <w:t>Clinical</w:t>
            </w:r>
            <w:r>
              <w:rPr>
                <w:rFonts w:ascii="Times New Roman" w:eastAsia="Times New Roman" w:hAnsi="Times New Roman"/>
                <w:lang w:eastAsia="en-GB"/>
              </w:rPr>
              <w:t xml:space="preserve"> </w:t>
            </w:r>
            <w:r>
              <w:rPr>
                <w:rFonts w:ascii="Times New Roman" w:eastAsia="Times New Roman" w:hAnsi="Times New Roman"/>
                <w:lang w:eastAsia="en-GB"/>
              </w:rPr>
              <w:t>Practice</w:t>
            </w:r>
            <w:r>
              <w:rPr>
                <w:rFonts w:ascii="Times New Roman" w:eastAsia="Times New Roman" w:hAnsi="Times New Roman"/>
                <w:lang w:eastAsia="en-GB"/>
              </w:rPr>
              <w:t xml:space="preserve"> </w:t>
            </w:r>
            <w:r>
              <w:rPr>
                <w:rFonts w:ascii="Times New Roman" w:eastAsia="Times New Roman" w:hAnsi="Times New Roman"/>
                <w:lang w:eastAsia="en-GB"/>
              </w:rPr>
              <w:t>Guidelines</w:t>
            </w:r>
            <w:r>
              <w:rPr>
                <w:rFonts w:ascii="Times New Roman" w:eastAsia="Times New Roman" w:hAnsi="Times New Roman"/>
                <w:lang w:eastAsia="en-GB"/>
              </w:rPr>
              <w:t xml:space="preserve"> </w:t>
            </w:r>
            <w:r>
              <w:rPr>
                <w:rFonts w:ascii="Times New Roman" w:eastAsia="Times New Roman" w:hAnsi="Times New Roman"/>
                <w:lang w:eastAsia="en-GB"/>
              </w:rPr>
              <w:t>on</w:t>
            </w:r>
            <w:r>
              <w:rPr>
                <w:rFonts w:ascii="Times New Roman" w:eastAsia="Times New Roman" w:hAnsi="Times New Roman"/>
                <w:lang w:eastAsia="en-GB"/>
              </w:rPr>
              <w:t xml:space="preserve"> </w:t>
            </w:r>
            <w:r>
              <w:rPr>
                <w:rFonts w:ascii="Times New Roman" w:eastAsia="Times New Roman" w:hAnsi="Times New Roman"/>
                <w:lang w:eastAsia="en-GB"/>
              </w:rPr>
              <w:t>nutrition</w:t>
            </w:r>
            <w:r>
              <w:rPr>
                <w:rFonts w:ascii="Times New Roman" w:eastAsia="Times New Roman" w:hAnsi="Times New Roman"/>
                <w:lang w:eastAsia="en-GB"/>
              </w:rPr>
              <w:t xml:space="preserve"> </w:t>
            </w:r>
            <w:r>
              <w:rPr>
                <w:rFonts w:ascii="Times New Roman" w:eastAsia="Times New Roman" w:hAnsi="Times New Roman"/>
                <w:lang w:eastAsia="en-GB"/>
              </w:rPr>
              <w:t>in</w:t>
            </w:r>
            <w:r>
              <w:rPr>
                <w:rFonts w:ascii="Times New Roman" w:eastAsia="Times New Roman" w:hAnsi="Times New Roman"/>
                <w:lang w:eastAsia="en-GB"/>
              </w:rPr>
              <w:t xml:space="preserve"> </w:t>
            </w:r>
            <w:r>
              <w:rPr>
                <w:rFonts w:ascii="Times New Roman" w:eastAsia="Times New Roman" w:hAnsi="Times New Roman"/>
                <w:lang w:eastAsia="en-GB"/>
              </w:rPr>
              <w:t>chronic</w:t>
            </w:r>
            <w:r>
              <w:rPr>
                <w:rFonts w:ascii="Times New Roman" w:eastAsia="Times New Roman" w:hAnsi="Times New Roman"/>
                <w:lang w:eastAsia="en-GB"/>
              </w:rPr>
              <w:t xml:space="preserve"> </w:t>
            </w:r>
            <w:r>
              <w:rPr>
                <w:rFonts w:ascii="Times New Roman" w:eastAsia="Times New Roman" w:hAnsi="Times New Roman"/>
                <w:lang w:eastAsia="en-GB"/>
              </w:rPr>
              <w:t>liver</w:t>
            </w:r>
            <w:r>
              <w:rPr>
                <w:rFonts w:ascii="Times New Roman" w:eastAsia="Times New Roman" w:hAnsi="Times New Roman"/>
                <w:lang w:eastAsia="en-GB"/>
              </w:rPr>
              <w:t xml:space="preserve"> </w:t>
            </w:r>
            <w:r>
              <w:rPr>
                <w:rFonts w:ascii="Times New Roman" w:eastAsia="Times New Roman" w:hAnsi="Times New Roman"/>
                <w:lang w:eastAsia="en-GB"/>
              </w:rPr>
              <w:t>disease</w:t>
            </w:r>
            <w:r>
              <w:rPr>
                <w:rFonts w:ascii="Times New Roman" w:eastAsia="Times New Roman" w:hAnsi="Times New Roman"/>
                <w:lang w:eastAsia="en-GB"/>
              </w:rPr>
              <w:t xml:space="preserve">. </w:t>
            </w:r>
            <w:r>
              <w:rPr>
                <w:rFonts w:ascii="Times New Roman" w:eastAsia="Times New Roman" w:hAnsi="Times New Roman"/>
                <w:lang w:eastAsia="en-GB"/>
              </w:rPr>
              <w:t>Journal</w:t>
            </w:r>
            <w:r>
              <w:rPr>
                <w:rFonts w:ascii="Times New Roman" w:eastAsia="Times New Roman" w:hAnsi="Times New Roman"/>
                <w:lang w:eastAsia="en-GB"/>
              </w:rPr>
              <w:t xml:space="preserve"> </w:t>
            </w:r>
            <w:r>
              <w:rPr>
                <w:rFonts w:ascii="Times New Roman" w:eastAsia="Times New Roman" w:hAnsi="Times New Roman"/>
                <w:lang w:eastAsia="en-GB"/>
              </w:rPr>
              <w:t>of</w:t>
            </w:r>
            <w:r>
              <w:rPr>
                <w:rFonts w:ascii="Times New Roman" w:eastAsia="Times New Roman" w:hAnsi="Times New Roman"/>
                <w:lang w:eastAsia="en-GB"/>
              </w:rPr>
              <w:t xml:space="preserve"> </w:t>
            </w:r>
            <w:r>
              <w:rPr>
                <w:rFonts w:ascii="Times New Roman" w:eastAsia="Times New Roman" w:hAnsi="Times New Roman"/>
                <w:lang w:eastAsia="en-GB"/>
              </w:rPr>
              <w:t>hepatology</w:t>
            </w:r>
            <w:r>
              <w:rPr>
                <w:rFonts w:ascii="Times New Roman" w:eastAsia="Times New Roman" w:hAnsi="Times New Roman"/>
                <w:lang w:eastAsia="en-GB"/>
              </w:rPr>
              <w:t>, 70(1), 172-193.</w:t>
            </w:r>
          </w:p>
          <w:p w:rsidR="00D044E3" w14:paraId="27928EDD" w14:textId="77777777">
            <w:pPr>
              <w:pStyle w:val="ListParagraph"/>
              <w:numPr>
                <w:ilvl w:val="0"/>
                <w:numId w:val="6"/>
              </w:numPr>
              <w:rPr>
                <w:rFonts w:ascii="Times New Roman" w:eastAsia="Times New Roman" w:hAnsi="Times New Roman"/>
                <w:lang w:eastAsia="en-GB"/>
              </w:rPr>
            </w:pPr>
            <w:r>
              <w:rPr>
                <w:rFonts w:ascii="Times New Roman" w:eastAsia="Times New Roman" w:hAnsi="Times New Roman"/>
                <w:lang w:eastAsia="en-GB"/>
              </w:rPr>
              <w:t>Plauth</w:t>
            </w:r>
            <w:r>
              <w:rPr>
                <w:rFonts w:ascii="Times New Roman" w:eastAsia="Times New Roman" w:hAnsi="Times New Roman"/>
                <w:lang w:eastAsia="en-GB"/>
              </w:rPr>
              <w:t xml:space="preserve">, M., </w:t>
            </w:r>
            <w:r>
              <w:rPr>
                <w:rFonts w:ascii="Times New Roman" w:eastAsia="Times New Roman" w:hAnsi="Times New Roman"/>
                <w:lang w:eastAsia="en-GB"/>
              </w:rPr>
              <w:t>Bernal</w:t>
            </w:r>
            <w:r>
              <w:rPr>
                <w:rFonts w:ascii="Times New Roman" w:eastAsia="Times New Roman" w:hAnsi="Times New Roman"/>
                <w:lang w:eastAsia="en-GB"/>
              </w:rPr>
              <w:t xml:space="preserve">, W., </w:t>
            </w:r>
            <w:r>
              <w:rPr>
                <w:rFonts w:ascii="Times New Roman" w:eastAsia="Times New Roman" w:hAnsi="Times New Roman"/>
                <w:lang w:eastAsia="en-GB"/>
              </w:rPr>
              <w:t>Dasarathy</w:t>
            </w:r>
            <w:r>
              <w:rPr>
                <w:rFonts w:ascii="Times New Roman" w:eastAsia="Times New Roman" w:hAnsi="Times New Roman"/>
                <w:lang w:eastAsia="en-GB"/>
              </w:rPr>
              <w:t xml:space="preserve">, S., </w:t>
            </w:r>
            <w:r>
              <w:rPr>
                <w:rFonts w:ascii="Times New Roman" w:eastAsia="Times New Roman" w:hAnsi="Times New Roman"/>
                <w:lang w:eastAsia="en-GB"/>
              </w:rPr>
              <w:t>Merli</w:t>
            </w:r>
            <w:r>
              <w:rPr>
                <w:rFonts w:ascii="Times New Roman" w:eastAsia="Times New Roman" w:hAnsi="Times New Roman"/>
                <w:lang w:eastAsia="en-GB"/>
              </w:rPr>
              <w:t xml:space="preserve">, M., Plank, L. D., </w:t>
            </w:r>
            <w:r>
              <w:rPr>
                <w:rFonts w:ascii="Times New Roman" w:eastAsia="Times New Roman" w:hAnsi="Times New Roman"/>
                <w:lang w:eastAsia="en-GB"/>
              </w:rPr>
              <w:t>Schütz</w:t>
            </w:r>
            <w:r>
              <w:rPr>
                <w:rFonts w:ascii="Times New Roman" w:eastAsia="Times New Roman" w:hAnsi="Times New Roman"/>
                <w:lang w:eastAsia="en-GB"/>
              </w:rPr>
              <w:t xml:space="preserve">, T., &amp; </w:t>
            </w:r>
            <w:r>
              <w:rPr>
                <w:rFonts w:ascii="Times New Roman" w:eastAsia="Times New Roman" w:hAnsi="Times New Roman"/>
                <w:lang w:eastAsia="en-GB"/>
              </w:rPr>
              <w:t>Bischoff</w:t>
            </w:r>
            <w:r>
              <w:rPr>
                <w:rFonts w:ascii="Times New Roman" w:eastAsia="Times New Roman" w:hAnsi="Times New Roman"/>
                <w:lang w:eastAsia="en-GB"/>
              </w:rPr>
              <w:t xml:space="preserve">, S. </w:t>
            </w:r>
            <w:r>
              <w:rPr>
                <w:rFonts w:ascii="Times New Roman" w:eastAsia="Times New Roman" w:hAnsi="Times New Roman"/>
                <w:lang w:eastAsia="en-GB"/>
              </w:rPr>
              <w:t xml:space="preserve">C. (2019). ESPEN </w:t>
            </w:r>
            <w:r>
              <w:rPr>
                <w:rFonts w:ascii="Times New Roman" w:eastAsia="Times New Roman" w:hAnsi="Times New Roman"/>
                <w:lang w:eastAsia="en-GB"/>
              </w:rPr>
              <w:t>guideline</w:t>
            </w:r>
            <w:r>
              <w:rPr>
                <w:rFonts w:ascii="Times New Roman" w:eastAsia="Times New Roman" w:hAnsi="Times New Roman"/>
                <w:lang w:eastAsia="en-GB"/>
              </w:rPr>
              <w:t xml:space="preserve"> </w:t>
            </w:r>
            <w:r>
              <w:rPr>
                <w:rFonts w:ascii="Times New Roman" w:eastAsia="Times New Roman" w:hAnsi="Times New Roman"/>
                <w:lang w:eastAsia="en-GB"/>
              </w:rPr>
              <w:t>on</w:t>
            </w:r>
            <w:r>
              <w:rPr>
                <w:rFonts w:ascii="Times New Roman" w:eastAsia="Times New Roman" w:hAnsi="Times New Roman"/>
                <w:lang w:eastAsia="en-GB"/>
              </w:rPr>
              <w:t xml:space="preserve"> </w:t>
            </w:r>
            <w:r>
              <w:rPr>
                <w:rFonts w:ascii="Times New Roman" w:eastAsia="Times New Roman" w:hAnsi="Times New Roman"/>
                <w:lang w:eastAsia="en-GB"/>
              </w:rPr>
              <w:t>clinical</w:t>
            </w:r>
            <w:r>
              <w:rPr>
                <w:rFonts w:ascii="Times New Roman" w:eastAsia="Times New Roman" w:hAnsi="Times New Roman"/>
                <w:lang w:eastAsia="en-GB"/>
              </w:rPr>
              <w:t xml:space="preserve"> </w:t>
            </w:r>
            <w:r>
              <w:rPr>
                <w:rFonts w:ascii="Times New Roman" w:eastAsia="Times New Roman" w:hAnsi="Times New Roman"/>
                <w:lang w:eastAsia="en-GB"/>
              </w:rPr>
              <w:t>nutrition</w:t>
            </w:r>
            <w:r>
              <w:rPr>
                <w:rFonts w:ascii="Times New Roman" w:eastAsia="Times New Roman" w:hAnsi="Times New Roman"/>
                <w:lang w:eastAsia="en-GB"/>
              </w:rPr>
              <w:t xml:space="preserve"> </w:t>
            </w:r>
            <w:r>
              <w:rPr>
                <w:rFonts w:ascii="Times New Roman" w:eastAsia="Times New Roman" w:hAnsi="Times New Roman"/>
                <w:lang w:eastAsia="en-GB"/>
              </w:rPr>
              <w:t>in</w:t>
            </w:r>
            <w:r>
              <w:rPr>
                <w:rFonts w:ascii="Times New Roman" w:eastAsia="Times New Roman" w:hAnsi="Times New Roman"/>
                <w:lang w:eastAsia="en-GB"/>
              </w:rPr>
              <w:t xml:space="preserve"> </w:t>
            </w:r>
            <w:r>
              <w:rPr>
                <w:rFonts w:ascii="Times New Roman" w:eastAsia="Times New Roman" w:hAnsi="Times New Roman"/>
                <w:lang w:eastAsia="en-GB"/>
              </w:rPr>
              <w:t>liver</w:t>
            </w:r>
            <w:r>
              <w:rPr>
                <w:rFonts w:ascii="Times New Roman" w:eastAsia="Times New Roman" w:hAnsi="Times New Roman"/>
                <w:lang w:eastAsia="en-GB"/>
              </w:rPr>
              <w:t xml:space="preserve"> </w:t>
            </w:r>
            <w:r>
              <w:rPr>
                <w:rFonts w:ascii="Times New Roman" w:eastAsia="Times New Roman" w:hAnsi="Times New Roman"/>
                <w:lang w:eastAsia="en-GB"/>
              </w:rPr>
              <w:t>disease</w:t>
            </w:r>
            <w:r>
              <w:rPr>
                <w:rFonts w:ascii="Times New Roman" w:eastAsia="Times New Roman" w:hAnsi="Times New Roman"/>
                <w:lang w:eastAsia="en-GB"/>
              </w:rPr>
              <w:t xml:space="preserve">. </w:t>
            </w:r>
            <w:r>
              <w:rPr>
                <w:rFonts w:ascii="Times New Roman" w:eastAsia="Times New Roman" w:hAnsi="Times New Roman"/>
                <w:lang w:eastAsia="en-GB"/>
              </w:rPr>
              <w:t>Clinical</w:t>
            </w:r>
            <w:r>
              <w:rPr>
                <w:rFonts w:ascii="Times New Roman" w:eastAsia="Times New Roman" w:hAnsi="Times New Roman"/>
                <w:lang w:eastAsia="en-GB"/>
              </w:rPr>
              <w:t xml:space="preserve"> </w:t>
            </w:r>
            <w:r>
              <w:rPr>
                <w:rFonts w:ascii="Times New Roman" w:eastAsia="Times New Roman" w:hAnsi="Times New Roman"/>
                <w:lang w:eastAsia="en-GB"/>
              </w:rPr>
              <w:t>nutrition</w:t>
            </w:r>
            <w:r>
              <w:rPr>
                <w:rFonts w:ascii="Times New Roman" w:eastAsia="Times New Roman" w:hAnsi="Times New Roman"/>
                <w:lang w:eastAsia="en-GB"/>
              </w:rPr>
              <w:t xml:space="preserve">, 38(2), 485-521. </w:t>
            </w:r>
          </w:p>
          <w:p w:rsidR="00D044E3" w14:paraId="3C7F77A5" w14:textId="77777777">
            <w:pPr>
              <w:pStyle w:val="ListParagraph"/>
              <w:numPr>
                <w:ilvl w:val="0"/>
                <w:numId w:val="6"/>
              </w:numPr>
              <w:rPr>
                <w:rFonts w:ascii="Times New Roman" w:eastAsia="Times New Roman" w:hAnsi="Times New Roman"/>
                <w:lang w:eastAsia="en-GB"/>
              </w:rPr>
            </w:pPr>
            <w:r>
              <w:rPr>
                <w:rFonts w:ascii="Times New Roman" w:eastAsia="Times New Roman" w:hAnsi="Times New Roman"/>
                <w:lang w:eastAsia="en-GB"/>
              </w:rPr>
              <w:t>MayoClinic</w:t>
            </w:r>
            <w:r>
              <w:rPr>
                <w:rFonts w:ascii="Times New Roman" w:eastAsia="Times New Roman" w:hAnsi="Times New Roman"/>
                <w:lang w:eastAsia="en-GB"/>
              </w:rPr>
              <w:t xml:space="preserve">. </w:t>
            </w:r>
            <w:r>
              <w:rPr>
                <w:rFonts w:ascii="Times New Roman" w:eastAsia="Times New Roman" w:hAnsi="Times New Roman"/>
                <w:lang w:eastAsia="en-GB"/>
              </w:rPr>
              <w:t>Nonalcoholic</w:t>
            </w:r>
            <w:r>
              <w:rPr>
                <w:rFonts w:ascii="Times New Roman" w:eastAsia="Times New Roman" w:hAnsi="Times New Roman"/>
                <w:lang w:eastAsia="en-GB"/>
              </w:rPr>
              <w:t xml:space="preserve"> </w:t>
            </w:r>
            <w:r>
              <w:rPr>
                <w:rFonts w:ascii="Times New Roman" w:eastAsia="Times New Roman" w:hAnsi="Times New Roman"/>
                <w:lang w:eastAsia="en-GB"/>
              </w:rPr>
              <w:t>fatty</w:t>
            </w:r>
            <w:r>
              <w:rPr>
                <w:rFonts w:ascii="Times New Roman" w:eastAsia="Times New Roman" w:hAnsi="Times New Roman"/>
                <w:lang w:eastAsia="en-GB"/>
              </w:rPr>
              <w:t xml:space="preserve"> </w:t>
            </w:r>
            <w:r>
              <w:rPr>
                <w:rFonts w:ascii="Times New Roman" w:eastAsia="Times New Roman" w:hAnsi="Times New Roman"/>
                <w:lang w:eastAsia="en-GB"/>
              </w:rPr>
              <w:t>liver</w:t>
            </w:r>
            <w:r>
              <w:rPr>
                <w:rFonts w:ascii="Times New Roman" w:eastAsia="Times New Roman" w:hAnsi="Times New Roman"/>
                <w:lang w:eastAsia="en-GB"/>
              </w:rPr>
              <w:t xml:space="preserve"> </w:t>
            </w:r>
            <w:r>
              <w:rPr>
                <w:rFonts w:ascii="Times New Roman" w:eastAsia="Times New Roman" w:hAnsi="Times New Roman"/>
                <w:lang w:eastAsia="en-GB"/>
              </w:rPr>
              <w:t>disease</w:t>
            </w:r>
            <w:r>
              <w:rPr>
                <w:rFonts w:ascii="Times New Roman" w:eastAsia="Times New Roman" w:hAnsi="Times New Roman"/>
                <w:lang w:eastAsia="en-GB"/>
              </w:rPr>
              <w:t xml:space="preserve">. </w:t>
            </w:r>
            <w:r>
              <w:rPr>
                <w:rFonts w:ascii="Times New Roman" w:eastAsia="Times New Roman" w:hAnsi="Times New Roman"/>
                <w:lang w:eastAsia="en-GB"/>
              </w:rPr>
              <w:t>Cirrhosis</w:t>
            </w:r>
            <w:r>
              <w:rPr>
                <w:rFonts w:ascii="Times New Roman" w:eastAsia="Times New Roman" w:hAnsi="Times New Roman"/>
                <w:lang w:eastAsia="en-GB"/>
              </w:rPr>
              <w:t xml:space="preserve">. </w:t>
            </w:r>
            <w:hyperlink r:id="rId12" w:history="1">
              <w:r>
                <w:rPr>
                  <w:rStyle w:val="Hyperlink"/>
                  <w:rFonts w:ascii="Times New Roman" w:eastAsia="Times New Roman" w:hAnsi="Times New Roman"/>
                  <w:lang w:eastAsia="en-GB"/>
                </w:rPr>
                <w:t>https://www.mayoclinic.org/diseases</w:t>
              </w:r>
              <w:r>
                <w:rPr>
                  <w:rStyle w:val="Hyperlink"/>
                  <w:rFonts w:ascii="Times New Roman" w:eastAsia="Times New Roman" w:hAnsi="Times New Roman"/>
                  <w:lang w:eastAsia="en-GB"/>
                </w:rPr>
                <w:t>-conditions</w:t>
              </w:r>
            </w:hyperlink>
          </w:p>
          <w:p w:rsidR="00D044E3" w14:paraId="011DDA19" w14:textId="77777777">
            <w:pPr>
              <w:pStyle w:val="ListParagraph"/>
              <w:numPr>
                <w:ilvl w:val="0"/>
                <w:numId w:val="6"/>
              </w:numPr>
            </w:pPr>
            <w:bookmarkStart w:id="2" w:name="_Hlk53657824"/>
            <w:r>
              <w:rPr>
                <w:rFonts w:ascii="Times New Roman" w:hAnsi="Times New Roman"/>
              </w:rPr>
              <w:t xml:space="preserve">Attēla izmantošana saskaņota ar www.uptodate.com vietnes uzturētāju un attēla autoru </w:t>
            </w:r>
            <w:r>
              <w:rPr>
                <w:rFonts w:ascii="Times New Roman" w:hAnsi="Times New Roman"/>
              </w:rPr>
              <w:t>Vege</w:t>
            </w:r>
            <w:r>
              <w:rPr>
                <w:rFonts w:ascii="Times New Roman" w:hAnsi="Times New Roman"/>
              </w:rPr>
              <w:t xml:space="preserve"> SS. Attēla pirmavots: </w:t>
            </w:r>
            <w:r>
              <w:rPr>
                <w:rFonts w:ascii="Times New Roman" w:hAnsi="Times New Roman"/>
              </w:rPr>
              <w:t>Vege</w:t>
            </w:r>
            <w:r>
              <w:rPr>
                <w:rFonts w:ascii="Times New Roman" w:hAnsi="Times New Roman"/>
              </w:rPr>
              <w:t xml:space="preserve"> SS. </w:t>
            </w:r>
            <w:r>
              <w:rPr>
                <w:rFonts w:ascii="Times New Roman" w:hAnsi="Times New Roman"/>
              </w:rPr>
              <w:t>Patient</w:t>
            </w:r>
            <w:r>
              <w:rPr>
                <w:rFonts w:ascii="Times New Roman" w:hAnsi="Times New Roman"/>
              </w:rPr>
              <w:t xml:space="preserve"> </w:t>
            </w:r>
            <w:r>
              <w:rPr>
                <w:rFonts w:ascii="Times New Roman" w:hAnsi="Times New Roman"/>
              </w:rPr>
              <w:t>education</w:t>
            </w:r>
            <w:r>
              <w:rPr>
                <w:rFonts w:ascii="Times New Roman" w:hAnsi="Times New Roman"/>
              </w:rPr>
              <w:t xml:space="preserve">: </w:t>
            </w:r>
            <w:r>
              <w:rPr>
                <w:rFonts w:ascii="Times New Roman" w:hAnsi="Times New Roman"/>
              </w:rPr>
              <w:t>Acute</w:t>
            </w:r>
            <w:r>
              <w:rPr>
                <w:rFonts w:ascii="Times New Roman" w:hAnsi="Times New Roman"/>
              </w:rPr>
              <w:t xml:space="preserve"> </w:t>
            </w:r>
            <w:r>
              <w:rPr>
                <w:rFonts w:ascii="Times New Roman" w:hAnsi="Times New Roman"/>
              </w:rPr>
              <w:t>pancreatitis</w:t>
            </w:r>
            <w:r>
              <w:rPr>
                <w:rFonts w:ascii="Times New Roman" w:hAnsi="Times New Roman"/>
              </w:rPr>
              <w:t xml:space="preserve"> (</w:t>
            </w:r>
            <w:r>
              <w:rPr>
                <w:rFonts w:ascii="Times New Roman" w:hAnsi="Times New Roman"/>
              </w:rPr>
              <w:t>Beyond</w:t>
            </w:r>
            <w:r>
              <w:rPr>
                <w:rFonts w:ascii="Times New Roman" w:hAnsi="Times New Roman"/>
              </w:rPr>
              <w:t xml:space="preserve"> </w:t>
            </w:r>
            <w:r>
              <w:rPr>
                <w:rFonts w:ascii="Times New Roman" w:hAnsi="Times New Roman"/>
              </w:rPr>
              <w:t>the</w:t>
            </w:r>
            <w:r>
              <w:rPr>
                <w:rFonts w:ascii="Times New Roman" w:hAnsi="Times New Roman"/>
              </w:rPr>
              <w:t xml:space="preserve"> </w:t>
            </w:r>
            <w:r>
              <w:rPr>
                <w:rFonts w:ascii="Times New Roman" w:hAnsi="Times New Roman"/>
              </w:rPr>
              <w:t>Basics</w:t>
            </w:r>
            <w:r>
              <w:rPr>
                <w:rFonts w:ascii="Times New Roman" w:hAnsi="Times New Roman"/>
              </w:rPr>
              <w:t xml:space="preserve">). </w:t>
            </w:r>
            <w:r>
              <w:rPr>
                <w:rFonts w:ascii="Times New Roman" w:hAnsi="Times New Roman"/>
              </w:rPr>
              <w:t>Copyright</w:t>
            </w:r>
            <w:r>
              <w:rPr>
                <w:rFonts w:ascii="Times New Roman" w:hAnsi="Times New Roman"/>
              </w:rPr>
              <w:t xml:space="preserve"> © 2020 </w:t>
            </w:r>
            <w:r>
              <w:rPr>
                <w:rFonts w:ascii="Times New Roman" w:hAnsi="Times New Roman"/>
              </w:rPr>
              <w:t>UpToDate</w:t>
            </w:r>
            <w:r>
              <w:rPr>
                <w:rFonts w:ascii="Times New Roman" w:hAnsi="Times New Roman"/>
              </w:rPr>
              <w:t xml:space="preserve">, </w:t>
            </w:r>
            <w:r>
              <w:rPr>
                <w:rFonts w:ascii="Times New Roman" w:hAnsi="Times New Roman"/>
              </w:rPr>
              <w:t>Inc</w:t>
            </w:r>
            <w:r>
              <w:rPr>
                <w:rFonts w:ascii="Times New Roman" w:hAnsi="Times New Roman"/>
              </w:rPr>
              <w:t xml:space="preserve">. </w:t>
            </w:r>
            <w:r>
              <w:rPr>
                <w:rFonts w:ascii="Times New Roman" w:hAnsi="Times New Roman"/>
                <w:lang w:val="en-US"/>
              </w:rPr>
              <w:t xml:space="preserve"> </w:t>
            </w:r>
            <w:r>
              <w:rPr>
                <w:rFonts w:ascii="Times New Roman" w:hAnsi="Times New Roman"/>
                <w:lang w:val="en-US"/>
              </w:rPr>
              <w:t>Attēla</w:t>
            </w:r>
            <w:r>
              <w:rPr>
                <w:rFonts w:ascii="Times New Roman" w:hAnsi="Times New Roman"/>
                <w:lang w:val="en-US"/>
              </w:rPr>
              <w:t xml:space="preserve"> </w:t>
            </w:r>
            <w:r>
              <w:rPr>
                <w:rFonts w:ascii="Times New Roman" w:hAnsi="Times New Roman"/>
                <w:lang w:val="en-US"/>
              </w:rPr>
              <w:t>autors</w:t>
            </w:r>
            <w:r>
              <w:rPr>
                <w:rFonts w:ascii="Times New Roman" w:hAnsi="Times New Roman"/>
                <w:lang w:val="en-US"/>
              </w:rPr>
              <w:t xml:space="preserve"> </w:t>
            </w:r>
            <w:r>
              <w:rPr>
                <w:rFonts w:ascii="Times New Roman" w:hAnsi="Times New Roman"/>
                <w:lang w:val="en-US"/>
              </w:rPr>
              <w:t>neuzņemas</w:t>
            </w:r>
            <w:r>
              <w:rPr>
                <w:rFonts w:ascii="Times New Roman" w:hAnsi="Times New Roman"/>
                <w:lang w:val="en-US"/>
              </w:rPr>
              <w:t xml:space="preserve"> </w:t>
            </w:r>
            <w:r>
              <w:rPr>
                <w:rFonts w:ascii="Times New Roman" w:hAnsi="Times New Roman"/>
                <w:lang w:val="en-US"/>
              </w:rPr>
              <w:t>atbildību</w:t>
            </w:r>
            <w:r>
              <w:rPr>
                <w:rFonts w:ascii="Times New Roman" w:hAnsi="Times New Roman"/>
                <w:lang w:val="en-US"/>
              </w:rPr>
              <w:t xml:space="preserve"> par </w:t>
            </w:r>
            <w:r>
              <w:rPr>
                <w:rFonts w:ascii="Times New Roman" w:hAnsi="Times New Roman"/>
                <w:lang w:val="en-US"/>
              </w:rPr>
              <w:t>attēla</w:t>
            </w:r>
            <w:r>
              <w:rPr>
                <w:rFonts w:ascii="Times New Roman" w:hAnsi="Times New Roman"/>
                <w:lang w:val="en-US"/>
              </w:rPr>
              <w:t xml:space="preserve"> </w:t>
            </w:r>
            <w:r>
              <w:rPr>
                <w:rFonts w:ascii="Times New Roman" w:hAnsi="Times New Roman"/>
                <w:lang w:val="en-US"/>
              </w:rPr>
              <w:t>tulkojumu</w:t>
            </w:r>
            <w:r>
              <w:rPr>
                <w:rFonts w:ascii="Times New Roman" w:hAnsi="Times New Roman"/>
                <w:lang w:val="en-US"/>
              </w:rPr>
              <w:t xml:space="preserve">. </w:t>
            </w:r>
            <w:r>
              <w:rPr>
                <w:rFonts w:ascii="Times New Roman" w:hAnsi="Times New Roman"/>
                <w:lang w:val="en-US"/>
              </w:rPr>
              <w:t>Attēls</w:t>
            </w:r>
            <w:r>
              <w:rPr>
                <w:rFonts w:ascii="Times New Roman" w:hAnsi="Times New Roman"/>
                <w:lang w:val="en-US"/>
              </w:rPr>
              <w:t xml:space="preserve"> </w:t>
            </w:r>
            <w:r>
              <w:rPr>
                <w:rFonts w:ascii="Times New Roman" w:hAnsi="Times New Roman"/>
                <w:lang w:val="en-US"/>
              </w:rPr>
              <w:t>oriģinālvalodā</w:t>
            </w:r>
            <w:r>
              <w:rPr>
                <w:rFonts w:ascii="Times New Roman" w:hAnsi="Times New Roman"/>
                <w:lang w:val="en-US"/>
              </w:rPr>
              <w:t xml:space="preserve"> </w:t>
            </w:r>
            <w:r>
              <w:rPr>
                <w:rFonts w:ascii="Times New Roman" w:hAnsi="Times New Roman"/>
                <w:lang w:val="en-US"/>
              </w:rPr>
              <w:t>skatāms</w:t>
            </w:r>
            <w:r>
              <w:rPr>
                <w:rFonts w:ascii="Times New Roman" w:hAnsi="Times New Roman"/>
                <w:lang w:val="en-US"/>
              </w:rPr>
              <w:t xml:space="preserve">: </w:t>
            </w:r>
            <w:r>
              <w:rPr>
                <w:rFonts w:ascii="Times New Roman" w:hAnsi="Times New Roman"/>
              </w:rPr>
              <w:t>www.uptodate.com</w:t>
            </w:r>
            <w:r>
              <w:t>.</w:t>
            </w:r>
          </w:p>
          <w:bookmarkEnd w:id="2"/>
          <w:p w:rsidR="00D044E3" w14:paraId="7144ACCC" w14:textId="7777777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660" w:hanging="660" w:hangingChars="300"/>
              <w:textAlignment w:val="auto"/>
              <w:rPr>
                <w:rFonts w:ascii="Times New Roman" w:hAnsi="Times New Roman"/>
                <w:sz w:val="24"/>
                <w:szCs w:val="24"/>
              </w:rPr>
            </w:pPr>
            <w:hyperlink r:id="rId13" w:history="1">
              <w:r>
                <w:rPr>
                  <w:rStyle w:val="Hyperlink"/>
                </w:rPr>
                <w:t>https://www-uptodate-com.db.rsu.lv/contents/images/PI/61473/PancreasanatomyPI.jpg</w:t>
              </w:r>
            </w:hyperlink>
          </w:p>
        </w:tc>
      </w:tr>
      <w:tr w14:paraId="5112BA37" w14:textId="77777777">
        <w:tblPrEx>
          <w:tblW w:w="0" w:type="auto"/>
          <w:tblLook w:val="04A0"/>
        </w:tblPrEx>
        <w:tc>
          <w:tcPr>
            <w:tcW w:w="2336" w:type="dxa"/>
            <w:tcBorders>
              <w:tl2br w:val="nil"/>
              <w:tr2bl w:val="nil"/>
            </w:tcBorders>
          </w:tcPr>
          <w:p w:rsidR="00D044E3" w14:paraId="6629DFA9" w14:textId="7777777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2813" w:type="dxa"/>
            <w:tcBorders>
              <w:tl2br w:val="nil"/>
              <w:tr2bl w:val="nil"/>
            </w:tcBorders>
          </w:tcPr>
          <w:p w:rsidR="00D044E3" w14:paraId="6F764CDB" w14:textId="7777777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3373" w:type="dxa"/>
            <w:tcBorders>
              <w:tl2br w:val="nil"/>
              <w:tr2bl w:val="nil"/>
            </w:tcBorders>
          </w:tcPr>
          <w:p w:rsidR="00D044E3" w14:paraId="286F4E11" w14:textId="7777777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r>
      <w:tr w14:paraId="1DB1391C" w14:textId="77777777">
        <w:tblPrEx>
          <w:tblW w:w="0" w:type="auto"/>
          <w:tblLook w:val="04A0"/>
        </w:tblPrEx>
        <w:tc>
          <w:tcPr>
            <w:tcW w:w="2336" w:type="dxa"/>
            <w:tcBorders>
              <w:tl2br w:val="nil"/>
              <w:tr2bl w:val="nil"/>
            </w:tcBorders>
          </w:tcPr>
          <w:p w:rsidR="00D044E3" w14:paraId="567EBA3A" w14:textId="77777777">
            <w:pPr>
              <w:rPr>
                <w:rFonts w:ascii="Times New Roman" w:hAnsi="Times New Roman"/>
                <w:sz w:val="24"/>
                <w:szCs w:val="24"/>
              </w:rPr>
            </w:pPr>
          </w:p>
        </w:tc>
        <w:tc>
          <w:tcPr>
            <w:tcW w:w="2813" w:type="dxa"/>
            <w:tcBorders>
              <w:tl2br w:val="nil"/>
              <w:tr2bl w:val="nil"/>
            </w:tcBorders>
          </w:tcPr>
          <w:p w:rsidR="00D044E3" w14:paraId="56BB32A3" w14:textId="77777777">
            <w:pPr>
              <w:rPr>
                <w:rFonts w:ascii="Times New Roman" w:hAnsi="Times New Roman"/>
                <w:sz w:val="24"/>
                <w:szCs w:val="24"/>
              </w:rPr>
            </w:pPr>
          </w:p>
        </w:tc>
        <w:tc>
          <w:tcPr>
            <w:tcW w:w="3373" w:type="dxa"/>
            <w:tcBorders>
              <w:tl2br w:val="nil"/>
              <w:tr2bl w:val="nil"/>
            </w:tcBorders>
          </w:tcPr>
          <w:p w:rsidR="00D044E3" w14:paraId="669282CF" w14:textId="77777777">
            <w:pPr>
              <w:rPr>
                <w:rFonts w:ascii="Times New Roman" w:hAnsi="Times New Roman"/>
                <w:sz w:val="24"/>
                <w:szCs w:val="24"/>
              </w:rPr>
            </w:pPr>
          </w:p>
        </w:tc>
      </w:tr>
      <w:tr w14:paraId="4A24D7CB" w14:textId="77777777">
        <w:tblPrEx>
          <w:tblW w:w="0" w:type="auto"/>
          <w:tblLook w:val="04A0"/>
        </w:tblPrEx>
        <w:tc>
          <w:tcPr>
            <w:tcW w:w="2336" w:type="dxa"/>
            <w:tcBorders>
              <w:tl2br w:val="nil"/>
              <w:tr2bl w:val="nil"/>
            </w:tcBorders>
          </w:tcPr>
          <w:p w:rsidR="00D044E3" w14:paraId="32E8AEF4" w14:textId="77777777">
            <w:pPr>
              <w:rPr>
                <w:rFonts w:ascii="Times New Roman" w:hAnsi="Times New Roman"/>
                <w:sz w:val="24"/>
                <w:szCs w:val="24"/>
              </w:rPr>
            </w:pPr>
          </w:p>
        </w:tc>
        <w:tc>
          <w:tcPr>
            <w:tcW w:w="2813" w:type="dxa"/>
            <w:tcBorders>
              <w:tl2br w:val="nil"/>
              <w:tr2bl w:val="nil"/>
            </w:tcBorders>
          </w:tcPr>
          <w:p w:rsidR="00D044E3" w14:paraId="238CA0EE" w14:textId="77777777">
            <w:pPr>
              <w:rPr>
                <w:rFonts w:ascii="Times New Roman" w:hAnsi="Times New Roman"/>
                <w:sz w:val="24"/>
                <w:szCs w:val="24"/>
              </w:rPr>
            </w:pPr>
          </w:p>
        </w:tc>
        <w:tc>
          <w:tcPr>
            <w:tcW w:w="3373" w:type="dxa"/>
            <w:tcBorders>
              <w:tl2br w:val="nil"/>
              <w:tr2bl w:val="nil"/>
            </w:tcBorders>
          </w:tcPr>
          <w:p w:rsidR="00D044E3" w14:paraId="65069F94" w14:textId="77777777">
            <w:pPr>
              <w:rPr>
                <w:rFonts w:ascii="Times New Roman" w:hAnsi="Times New Roman"/>
                <w:sz w:val="24"/>
                <w:szCs w:val="24"/>
              </w:rPr>
            </w:pPr>
          </w:p>
        </w:tc>
      </w:tr>
    </w:tbl>
    <w:p w:rsidR="00D044E3" w14:paraId="02775739" w14:textId="77777777">
      <w:pPr>
        <w:rPr>
          <w:rFonts w:ascii="Times New Roman" w:hAnsi="Times New Roman"/>
          <w:sz w:val="24"/>
          <w:szCs w:val="24"/>
        </w:rPr>
      </w:pPr>
    </w:p>
    <w:sectPr>
      <w:headerReference w:type="default" r:id="rId14"/>
      <w:footerReference w:type="default" r:id="rId1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03930634"/>
      <w:richText/>
    </w:sdtPr>
    <w:sdtEndPr>
      <w:rPr>
        <w:rFonts w:ascii="Times New Roman" w:hAnsi="Times New Roman"/>
        <w:sz w:val="24"/>
        <w:szCs w:val="24"/>
      </w:rPr>
    </w:sdtEndPr>
    <w:sdtContent>
      <w:p w:rsidR="00D044E3" w14:paraId="1A8E1448" w14:textId="77777777">
        <w:pPr>
          <w:pStyle w:val="Footer"/>
          <w:jc w:val="right"/>
        </w:pPr>
      </w:p>
      <w:p w:rsidR="00D044E3" w14:paraId="57ACBCE9" w14:textId="77777777">
        <w:pPr>
          <w:pStyle w:val="Foot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p>
    </w:sdtContent>
  </w:sdt>
  <w:p w:rsidR="00D044E3" w14:paraId="18D81DA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1232" w:rsidRPr="001F1232" w:rsidP="000C4BA3" w14:paraId="3DDB7D6E" w14:textId="29B04145">
    <w:pPr>
      <w:pStyle w:val="Header"/>
      <w:jc w:val="right"/>
    </w:pPr>
    <w:r w:rsidRPr="001F1232">
      <w:rPr>
        <w:b/>
        <w:bCs/>
      </w:rPr>
      <w:t>Pielikums Nr.</w:t>
    </w:r>
    <w:r w:rsidR="000C4BA3">
      <w:rPr>
        <w:b/>
        <w:bCs/>
      </w:rPr>
      <w:t>3</w:t>
    </w:r>
    <w:r w:rsidRPr="001F1232">
      <w:rPr>
        <w:b/>
        <w:bCs/>
      </w:rPr>
      <w:t xml:space="preserve"> Veselības ministrijas </w:t>
    </w:r>
    <w:r w:rsidRPr="001F1232">
      <w:rPr>
        <w:b/>
        <w:bCs/>
        <w:noProof/>
      </w:rPr>
      <w:t>Datums skatāms laika zīmogā</w:t>
    </w:r>
    <w:r w:rsidRPr="001F1232">
      <w:rPr>
        <w:b/>
        <w:bCs/>
      </w:rPr>
      <w:t xml:space="preserve"> rīkojumam Nr. </w:t>
    </w:r>
    <w:r w:rsidRPr="001F1232">
      <w:rPr>
        <w:b/>
        <w:bCs/>
        <w:noProof/>
      </w:rPr>
      <w:t>200</w:t>
    </w:r>
  </w:p>
  <w:p w:rsidR="001F1232" w14:paraId="25D0B65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1ABC5977"/>
    <w:multiLevelType w:val="multilevel"/>
    <w:tmpl w:val="1ABC597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1">
    <w:nsid w:val="35DA18BF"/>
    <w:multiLevelType w:val="multilevel"/>
    <w:tmpl w:val="35DA18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1">
    <w:nsid w:val="41C4444A"/>
    <w:multiLevelType w:val="multilevel"/>
    <w:tmpl w:val="41C4444A"/>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1">
    <w:nsid w:val="474DA58D"/>
    <w:multiLevelType w:val="singleLevel"/>
    <w:tmpl w:val="474DA58D"/>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4" w15:restartNumberingAfterBreak="1">
    <w:nsid w:val="588C4980"/>
    <w:multiLevelType w:val="multilevel"/>
    <w:tmpl w:val="588C4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1">
    <w:nsid w:val="721903E2"/>
    <w:multiLevelType w:val="multilevel"/>
    <w:tmpl w:val="72190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72A27"/>
    <w:rsid w:val="000C4BA3"/>
    <w:rsid w:val="00172A27"/>
    <w:rsid w:val="001C57F5"/>
    <w:rsid w:val="001F1232"/>
    <w:rsid w:val="006265DC"/>
    <w:rsid w:val="00911615"/>
    <w:rsid w:val="00D044E3"/>
    <w:rsid w:val="00EC780F"/>
    <w:rsid w:val="2F812F8D"/>
    <w:rsid w:val="334368B8"/>
    <w:rsid w:val="37D35953"/>
    <w:rsid w:val="43B36716"/>
    <w:rsid w:val="4886239A"/>
    <w:rsid w:val="645F54B9"/>
    <w:rsid w:val="6F060AC0"/>
    <w:rsid w:val="76C72DC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B0807CB1-B8C1-415A-96E5-A296C5C7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footnote reference" w:semiHidden="1" w:uiPriority="99" w:unhideWhenUsed="1" w:qFormat="1"/>
    <w:lsdException w:name="List Bullet" w:qFormat="1"/>
    <w:lsdException w:name="Title" w:qFormat="1"/>
    <w:lsdException w:name="Default Paragraph Font" w:semiHidden="1" w:uiPriority="1" w:unhideWhenUsed="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il"/>
        <w:left w:val="nil"/>
        <w:bottom w:val="nil"/>
        <w:right w:val="nil"/>
      </w:pBdr>
      <w:spacing w:after="160" w:line="252" w:lineRule="auto"/>
      <w:textAlignment w:val="baseline"/>
    </w:pPr>
    <w:rPr>
      <w:rFonts w:ascii="Calibri" w:eastAsia="Calibri" w:hAnsi="Calibri" w:cs="Times New Roman"/>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ListBullet">
    <w:name w:val="List Bullet"/>
    <w:basedOn w:val="Normal"/>
    <w:qFormat/>
    <w:pPr>
      <w:numPr>
        <w:numId w:val="1"/>
      </w:numPr>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lang w:eastAsia="lv-LV"/>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Parasts"/>
    <w:qFormat/>
    <w:pPr>
      <w:spacing w:after="0" w:line="240" w:lineRule="auto"/>
      <w:ind w:left="720"/>
    </w:pPr>
    <w:rPr>
      <w:rFonts w:ascii="Times New Roman" w:eastAsia="Times New Roman" w:hAnsi="Times New Roman"/>
      <w:sz w:val="24"/>
      <w:szCs w:val="24"/>
      <w:lang w:val="lv-LV" w:eastAsia="lv-LV"/>
    </w:rPr>
  </w:style>
  <w:style w:type="paragraph" w:customStyle="1" w:styleId="Parasts">
    <w:name w:val="Parasts"/>
    <w:qFormat/>
    <w:pPr>
      <w:pBdr>
        <w:top w:val="nil"/>
        <w:left w:val="nil"/>
        <w:bottom w:val="nil"/>
        <w:right w:val="nil"/>
      </w:pBdr>
      <w:suppressAutoHyphens/>
      <w:spacing w:after="160" w:line="252" w:lineRule="auto"/>
      <w:textAlignment w:val="baseline"/>
    </w:pPr>
    <w:rPr>
      <w:rFonts w:ascii="Calibri" w:eastAsia="Calibri" w:hAnsi="Calibri" w:cs="Times New Roman"/>
      <w:sz w:val="22"/>
      <w:szCs w:val="22"/>
      <w:lang w:val="ru-RU" w:eastAsia="en-US"/>
    </w:rPr>
  </w:style>
  <w:style w:type="character" w:customStyle="1" w:styleId="Noklusjumarindkopasfonts">
    <w:name w:val="Noklusējuma rindkopas fonts"/>
    <w:qFormat/>
  </w:style>
  <w:style w:type="paragraph" w:styleId="ListParagraph">
    <w:name w:val="List Paragraph"/>
    <w:basedOn w:val="Normal"/>
    <w:uiPriority w:val="34"/>
    <w:qFormat/>
    <w:pPr>
      <w:ind w:left="720"/>
      <w:contextualSpacing/>
    </w:pPr>
  </w:style>
  <w:style w:type="table" w:customStyle="1" w:styleId="ListTable4-Accent31">
    <w:name w:val="List Table 4 - Accent 3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ps">
    <w:name w:val="hps"/>
    <w:basedOn w:val="DefaultParagraphFont"/>
    <w:qFormat/>
  </w:style>
  <w:style w:type="paragraph" w:styleId="NoSpacing">
    <w:name w:val="No Spacing"/>
    <w:uiPriority w:val="1"/>
    <w:qFormat/>
    <w:rPr>
      <w:sz w:val="22"/>
      <w:szCs w:val="22"/>
      <w:lang w:eastAsia="en-US"/>
    </w:rPr>
  </w:style>
  <w:style w:type="character" w:customStyle="1" w:styleId="FooterChar">
    <w:name w:val="Footer Char"/>
    <w:basedOn w:val="DefaultParagraphFont"/>
    <w:link w:val="Footer"/>
    <w:uiPriority w:val="99"/>
    <w:rPr>
      <w:rFonts w:ascii="Calibri" w:eastAsia="Calibri" w:hAnsi="Calibri"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webmd.com/hepatitis/liver-and-hepatic-diseases" TargetMode="External" /><Relationship Id="rId11" Type="http://schemas.openxmlformats.org/officeDocument/2006/relationships/hyperlink" Target="https://www-uptodate-com.db.rsu.lv/contents/nutritional-assessment-in-chronic-liver-disease" TargetMode="External" /><Relationship Id="rId12" Type="http://schemas.openxmlformats.org/officeDocument/2006/relationships/hyperlink" Target="https://www.mayoclinic.org/diseases-conditions" TargetMode="External" /><Relationship Id="rId13" Type="http://schemas.openxmlformats.org/officeDocument/2006/relationships/hyperlink" Target="https://www-uptodate-com.db.rsu.lv/contents/images/PI/61473/PancreasanatomyPI.jpg"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yperlink" Target="http://www.uptodate.com" TargetMode="External" /><Relationship Id="rId8" Type="http://schemas.openxmlformats.org/officeDocument/2006/relationships/hyperlink" Target="http://www.vm.gov.lv/images/userfiles/VM_Uztura_ieteik_pieaug.pdf" TargetMode="External" /><Relationship Id="rId9" Type="http://schemas.openxmlformats.org/officeDocument/2006/relationships/hyperlink" Target="https://www.webmd.com/minesh-khatri"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5185</Words>
  <Characters>2956</Characters>
  <Application>Microsoft Office Word</Application>
  <DocSecurity>0</DocSecurity>
  <Lines>24</Lines>
  <Paragraphs>16</Paragraphs>
  <ScaleCrop>false</ScaleCrop>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dc:creator>
  <cp:lastModifiedBy>Ieva Apine</cp:lastModifiedBy>
  <cp:revision>6</cp:revision>
  <dcterms:created xsi:type="dcterms:W3CDTF">2020-11-10T07:04:00Z</dcterms:created>
  <dcterms:modified xsi:type="dcterms:W3CDTF">2020-11-13T12:51:00Z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