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254FB3">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-581025</wp:posOffset>
            </wp:positionH>
            <wp:positionV relativeFrom="paragraph">
              <wp:posOffset>-287020</wp:posOffset>
            </wp:positionV>
            <wp:extent cx="6559550" cy="1228725"/>
            <wp:effectExtent l="0" t="0" r="0"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47901"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434" t="24117"/>
                    <a:stretch>
                      <a:fillRect/>
                    </a:stretch>
                  </pic:blipFill>
                  <pic:spPr bwMode="auto">
                    <a:xfrm>
                      <a:off x="0" y="0"/>
                      <a:ext cx="6559550" cy="12287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64"/>
        <w:gridCol w:w="2862"/>
        <w:gridCol w:w="2996"/>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254FB3">
            <w:pPr>
              <w:jc w:val="center"/>
              <w:rPr>
                <w:rFonts w:ascii="Times New Roman" w:hAnsi="Times New Roman"/>
                <w:color w:val="000000"/>
                <w:sz w:val="21"/>
                <w:szCs w:val="21"/>
                <w:lang w:eastAsia="lv-LV"/>
              </w:rPr>
            </w:pPr>
          </w:p>
          <w:p w:rsidR="00775726" w:rsidRPr="00254FB3">
            <w:pPr>
              <w:jc w:val="center"/>
              <w:rPr>
                <w:rFonts w:ascii="Times New Roman" w:hAnsi="Times New Roman"/>
                <w:color w:val="000000"/>
                <w:sz w:val="21"/>
                <w:szCs w:val="21"/>
                <w:lang w:eastAsia="lv-LV"/>
              </w:rPr>
            </w:pP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ook w:val="04A0"/>
        </w:tblPrEx>
        <w:tc>
          <w:tcPr>
            <w:tcW w:w="8522" w:type="dxa"/>
            <w:gridSpan w:val="3"/>
            <w:tcBorders>
              <w:tl2br w:val="nil"/>
              <w:tr2bl w:val="nil"/>
            </w:tcBorders>
          </w:tcPr>
          <w:p w:rsidR="00775726">
            <w:pPr>
              <w:rPr>
                <w:rFonts w:ascii="Times New Roman" w:hAnsi="Times New Roman"/>
              </w:rPr>
            </w:pPr>
          </w:p>
        </w:tc>
      </w:tr>
      <w:tr>
        <w:tblPrEx>
          <w:tblW w:w="0" w:type="auto"/>
          <w:tblLook w:val="04A0"/>
        </w:tblPrEx>
        <w:tc>
          <w:tcPr>
            <w:tcW w:w="8522" w:type="dxa"/>
            <w:gridSpan w:val="3"/>
            <w:tcBorders>
              <w:tl2br w:val="nil"/>
              <w:tr2bl w:val="nil"/>
            </w:tcBorders>
          </w:tcPr>
          <w:p w:rsidR="00775726">
            <w:pPr>
              <w:jc w:val="center"/>
              <w:rPr>
                <w:rFonts w:ascii="Times New Roman" w:hAnsi="Times New Roman"/>
              </w:rPr>
            </w:pPr>
            <w:r>
              <w:rPr>
                <w:rFonts w:ascii="Times New Roman" w:hAnsi="Times New Roman"/>
                <w:b/>
                <w:bCs/>
                <w:color w:val="000000" w:themeColor="text1"/>
                <w:sz w:val="28"/>
                <w:szCs w:val="28"/>
              </w:rPr>
              <w:t xml:space="preserve">Uztura ieteikumi pacientiem ar </w:t>
            </w:r>
            <w:r>
              <w:rPr>
                <w:rFonts w:ascii="Times New Roman" w:hAnsi="Times New Roman"/>
                <w:b/>
                <w:bCs/>
                <w:color w:val="000000" w:themeColor="text1"/>
                <w:sz w:val="28"/>
                <w:szCs w:val="28"/>
              </w:rPr>
              <w:t>gastroezeofagālā</w:t>
            </w:r>
            <w:r>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refluksa</w:t>
            </w:r>
            <w:r>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atviļņa</w:t>
            </w:r>
            <w:r>
              <w:rPr>
                <w:rFonts w:ascii="Times New Roman" w:hAnsi="Times New Roman"/>
                <w:b/>
                <w:bCs/>
                <w:color w:val="000000" w:themeColor="text1"/>
                <w:sz w:val="28"/>
                <w:szCs w:val="28"/>
              </w:rPr>
              <w:t>) slimību</w:t>
            </w:r>
          </w:p>
        </w:tc>
      </w:tr>
      <w:tr>
        <w:tblPrEx>
          <w:tblW w:w="0" w:type="auto"/>
          <w:tblLook w:val="04A0"/>
        </w:tblPrEx>
        <w:tc>
          <w:tcPr>
            <w:tcW w:w="8522" w:type="dxa"/>
            <w:gridSpan w:val="3"/>
            <w:tcBorders>
              <w:bottom w:val="nil"/>
              <w:tl2br w:val="nil"/>
              <w:tr2bl w:val="nil"/>
            </w:tcBorders>
          </w:tcPr>
          <w:p w:rsidR="00775726">
            <w:pPr>
              <w:rPr>
                <w:rFonts w:ascii="Times New Roman" w:hAnsi="Times New Roman"/>
                <w:sz w:val="24"/>
                <w:szCs w:val="24"/>
              </w:rPr>
            </w:pPr>
            <w:bookmarkStart w:id="0" w:name="_GoBack"/>
            <w:bookmarkEnd w:id="0"/>
          </w:p>
        </w:tc>
      </w:tr>
      <w:tr>
        <w:tblPrEx>
          <w:tblW w:w="0" w:type="auto"/>
          <w:tblLook w:val="04A0"/>
        </w:tblPrEx>
        <w:trPr>
          <w:trHeight w:val="851"/>
        </w:trPr>
        <w:tc>
          <w:tcPr>
            <w:tcW w:w="8522" w:type="dxa"/>
            <w:gridSpan w:val="3"/>
            <w:tcBorders>
              <w:top w:val="nil"/>
              <w:left w:val="nil"/>
              <w:bottom w:val="nil"/>
              <w:right w:val="nil"/>
              <w:tl2br w:val="nil"/>
              <w:tr2bl w:val="nil"/>
            </w:tcBorders>
          </w:tcPr>
          <w:p w:rsidR="00775726">
            <w:pPr>
              <w:rPr>
                <w:rFonts w:ascii="Times New Roman" w:hAnsi="Times New Roman"/>
                <w:color w:val="000000" w:themeColor="text1"/>
                <w:sz w:val="24"/>
                <w:szCs w:val="24"/>
              </w:rPr>
            </w:pPr>
            <w:r>
              <w:rPr>
                <w:rFonts w:ascii="Times New Roman" w:hAnsi="Times New Roman"/>
                <w:color w:val="000000" w:themeColor="text1"/>
                <w:sz w:val="24"/>
                <w:szCs w:val="24"/>
              </w:rPr>
              <w:t>Gastroezeofagālais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reflukss</w:t>
            </w:r>
            <w:r>
              <w:rPr>
                <w:rFonts w:ascii="Times New Roman" w:hAnsi="Times New Roman"/>
                <w:color w:val="000000" w:themeColor="text1"/>
                <w:sz w:val="24"/>
                <w:szCs w:val="24"/>
              </w:rPr>
              <w:t xml:space="preserve"> vai </w:t>
            </w:r>
            <w:r>
              <w:rPr>
                <w:rFonts w:ascii="Times New Roman" w:hAnsi="Times New Roman"/>
                <w:color w:val="000000" w:themeColor="text1"/>
                <w:sz w:val="24"/>
                <w:szCs w:val="24"/>
              </w:rPr>
              <w:t>atvilnis</w:t>
            </w:r>
            <w:r>
              <w:rPr>
                <w:rFonts w:ascii="Times New Roman" w:hAnsi="Times New Roman"/>
                <w:color w:val="000000" w:themeColor="text1"/>
                <w:sz w:val="24"/>
                <w:szCs w:val="24"/>
              </w:rPr>
              <w:t xml:space="preserve"> ir kuņģa satura nonākšana/atgrūšana barības vadā un/vai mutē. Tā ir normāla fizioloģiska parādība, kas var būt arī pilnīgi veselam cilvēkam - visbiežāk īslaicīgi, pēc ēšanas, neradot sūdzības un komplikācijas.</w:t>
            </w:r>
          </w:p>
          <w:p w:rsidR="00775726">
            <w:pPr>
              <w:rPr>
                <w:rFonts w:ascii="Times New Roman" w:hAnsi="Times New Roman"/>
                <w:color w:val="000000" w:themeColor="text1"/>
                <w:sz w:val="24"/>
                <w:szCs w:val="24"/>
              </w:rPr>
            </w:pPr>
            <w:r>
              <w:rPr>
                <w:rFonts w:ascii="Times New Roman" w:hAnsi="Times New Roman"/>
                <w:color w:val="000000" w:themeColor="text1"/>
                <w:sz w:val="24"/>
                <w:szCs w:val="24"/>
              </w:rPr>
              <w:t xml:space="preserve">Savukārt, </w:t>
            </w:r>
            <w:r>
              <w:rPr>
                <w:rFonts w:ascii="Times New Roman" w:hAnsi="Times New Roman"/>
                <w:b/>
                <w:bCs/>
                <w:color w:val="000000" w:themeColor="text1"/>
                <w:sz w:val="24"/>
                <w:szCs w:val="24"/>
              </w:rPr>
              <w:t>gastroezofageālā</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refluksa</w:t>
            </w:r>
            <w:r>
              <w:rPr>
                <w:rFonts w:ascii="Times New Roman" w:hAnsi="Times New Roman"/>
                <w:b/>
                <w:bCs/>
                <w:color w:val="000000" w:themeColor="text1"/>
                <w:sz w:val="24"/>
                <w:szCs w:val="24"/>
              </w:rPr>
              <w:t xml:space="preserve"> slimība</w:t>
            </w:r>
            <w:r>
              <w:rPr>
                <w:rFonts w:ascii="Times New Roman" w:hAnsi="Times New Roman"/>
                <w:color w:val="000000" w:themeColor="text1"/>
                <w:sz w:val="24"/>
                <w:szCs w:val="24"/>
              </w:rPr>
              <w:t xml:space="preserve"> pacientiem rada sūdzības, jo veidojas barības vada bojājums kuņģa skābes </w:t>
            </w:r>
            <w:r>
              <w:rPr>
                <w:rFonts w:ascii="Times New Roman" w:hAnsi="Times New Roman"/>
                <w:color w:val="000000" w:themeColor="text1"/>
                <w:sz w:val="24"/>
                <w:szCs w:val="24"/>
              </w:rPr>
              <w:t>atviļņa</w:t>
            </w:r>
            <w:r>
              <w:rPr>
                <w:rFonts w:ascii="Times New Roman" w:hAnsi="Times New Roman"/>
                <w:color w:val="000000" w:themeColor="text1"/>
                <w:sz w:val="24"/>
                <w:szCs w:val="24"/>
              </w:rPr>
              <w:t xml:space="preserve"> dēļ. </w:t>
            </w:r>
          </w:p>
          <w:p w:rsidR="00775726">
            <w:pPr>
              <w:rPr>
                <w:rFonts w:ascii="Times New Roman" w:hAnsi="Times New Roman"/>
                <w:color w:val="000000" w:themeColor="text1"/>
                <w:sz w:val="24"/>
                <w:szCs w:val="24"/>
              </w:rPr>
            </w:pPr>
            <w:r>
              <w:rPr>
                <w:rFonts w:ascii="Times New Roman" w:hAnsi="Times New Roman"/>
                <w:color w:val="000000" w:themeColor="text1"/>
                <w:sz w:val="24"/>
                <w:szCs w:val="24"/>
              </w:rPr>
              <w:t>Kad cilvēks ēd, uzturs no barības vada nonāk kuņģī. Barības vada galā ir gredzenveida muskulis, kas atveras, lai ēdiens nonāktu kuņģī, pēc tam veselam cilvēkam tas aizveras, tādējādi pasargājot barības vadu no kuņģa satura. Dažkārt šis muskulis nestrādā pi</w:t>
            </w:r>
            <w:r>
              <w:rPr>
                <w:rFonts w:ascii="Times New Roman" w:hAnsi="Times New Roman"/>
                <w:color w:val="000000" w:themeColor="text1"/>
                <w:sz w:val="24"/>
                <w:szCs w:val="24"/>
              </w:rPr>
              <w:t>etiekami labi. Tādā gadījumā barības vadā kopā ar atgrūsto barību nokļūst kuņģa sālsskābe un ferments – pepsīns, kas rada gļotādas bojājumu. Ja process ir izteikts vai ilgstošs, var rasties barības vada iekaisums (</w:t>
            </w:r>
            <w:r>
              <w:rPr>
                <w:rFonts w:ascii="Times New Roman" w:hAnsi="Times New Roman"/>
                <w:color w:val="000000" w:themeColor="text1"/>
                <w:sz w:val="24"/>
                <w:szCs w:val="24"/>
              </w:rPr>
              <w:t>ezofagīts</w:t>
            </w:r>
            <w:r>
              <w:rPr>
                <w:rFonts w:ascii="Times New Roman" w:hAnsi="Times New Roman"/>
                <w:color w:val="000000" w:themeColor="text1"/>
                <w:sz w:val="24"/>
                <w:szCs w:val="24"/>
              </w:rPr>
              <w:t xml:space="preserve">). </w:t>
            </w:r>
          </w:p>
          <w:p w:rsidR="00775726">
            <w:pPr>
              <w:pStyle w:val="Parasts"/>
              <w:spacing w:line="216"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2698115" cy="2927985"/>
                  <wp:effectExtent l="0" t="0" r="6985"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95391" name="Picture 4"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717973" cy="2949864"/>
                          </a:xfrm>
                          <a:prstGeom prst="rect">
                            <a:avLst/>
                          </a:prstGeom>
                        </pic:spPr>
                      </pic:pic>
                    </a:graphicData>
                  </a:graphic>
                </wp:inline>
              </w:drawing>
            </w:r>
          </w:p>
          <w:p w:rsidR="00775726">
            <w:pPr>
              <w:jc w:val="center"/>
              <w:rPr>
                <w:rFonts w:ascii="Times New Roman" w:hAnsi="Times New Roman"/>
                <w:color w:val="000000" w:themeColor="text1"/>
                <w:sz w:val="24"/>
                <w:szCs w:val="24"/>
              </w:rPr>
            </w:pPr>
            <w:bookmarkStart w:id="1" w:name="_Hlk53065766"/>
            <w:r>
              <w:rPr>
                <w:rFonts w:ascii="Times New Roman" w:hAnsi="Times New Roman"/>
                <w:color w:val="000000" w:themeColor="text1"/>
                <w:sz w:val="24"/>
                <w:szCs w:val="24"/>
              </w:rPr>
              <w:t>Vizualizācijai</w:t>
            </w:r>
            <w:r>
              <w:rPr>
                <w:rFonts w:ascii="Times New Roman" w:hAnsi="Times New Roman"/>
                <w:color w:val="000000" w:themeColor="text1"/>
                <w:sz w:val="24"/>
                <w:szCs w:val="24"/>
              </w:rPr>
              <w:t xml:space="preserve"> izmantots at</w:t>
            </w:r>
            <w:r>
              <w:rPr>
                <w:rFonts w:ascii="Times New Roman" w:hAnsi="Times New Roman"/>
                <w:color w:val="000000" w:themeColor="text1"/>
                <w:sz w:val="24"/>
                <w:szCs w:val="24"/>
              </w:rPr>
              <w:t xml:space="preserve">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bookmarkEnd w:id="1"/>
          <w:p w:rsidR="00775726">
            <w:pPr>
              <w:rPr>
                <w:rFonts w:ascii="Times New Roman" w:hAnsi="Times New Roman"/>
                <w:color w:val="000000" w:themeColor="text1"/>
                <w:sz w:val="24"/>
                <w:szCs w:val="24"/>
              </w:rPr>
            </w:pPr>
            <w:r>
              <w:rPr>
                <w:rFonts w:ascii="Times New Roman" w:hAnsi="Times New Roman"/>
                <w:color w:val="000000" w:themeColor="text1"/>
                <w:sz w:val="24"/>
                <w:szCs w:val="24"/>
              </w:rPr>
              <w:t xml:space="preserve">Slimības raksturīgā </w:t>
            </w:r>
            <w:r>
              <w:rPr>
                <w:rFonts w:ascii="Times New Roman" w:hAnsi="Times New Roman"/>
                <w:b/>
                <w:bCs/>
                <w:color w:val="000000" w:themeColor="text1"/>
                <w:sz w:val="24"/>
                <w:szCs w:val="24"/>
              </w:rPr>
              <w:t xml:space="preserve">pazīme </w:t>
            </w:r>
            <w:r>
              <w:rPr>
                <w:rStyle w:val="Strong"/>
                <w:rFonts w:ascii="Times New Roman" w:hAnsi="Times New Roman"/>
                <w:b w:val="0"/>
                <w:bCs w:val="0"/>
                <w:color w:val="000000" w:themeColor="text1"/>
                <w:sz w:val="24"/>
                <w:szCs w:val="24"/>
              </w:rPr>
              <w:t xml:space="preserve">ir dedzināšana pakrūtē vai aiz krūšu kaula,  </w:t>
            </w:r>
            <w:r>
              <w:rPr>
                <w:rFonts w:ascii="Times New Roman" w:hAnsi="Times New Roman"/>
                <w:color w:val="000000" w:themeColor="text1"/>
                <w:sz w:val="24"/>
                <w:szCs w:val="24"/>
              </w:rPr>
              <w:t xml:space="preserve">skāba </w:t>
            </w:r>
            <w:r>
              <w:rPr>
                <w:rFonts w:ascii="Times New Roman" w:hAnsi="Times New Roman"/>
                <w:color w:val="000000" w:themeColor="text1"/>
                <w:sz w:val="24"/>
                <w:szCs w:val="24"/>
              </w:rPr>
              <w:t>atviļņa</w:t>
            </w:r>
            <w:r>
              <w:rPr>
                <w:rFonts w:ascii="Times New Roman" w:hAnsi="Times New Roman"/>
                <w:color w:val="000000" w:themeColor="text1"/>
                <w:sz w:val="24"/>
                <w:szCs w:val="24"/>
              </w:rPr>
              <w:t xml:space="preserve"> sajūta kaklā vai mutē</w:t>
            </w:r>
            <w:r>
              <w:rPr>
                <w:rStyle w:val="Strong"/>
                <w:rFonts w:ascii="Times New Roman" w:hAnsi="Times New Roman"/>
                <w:color w:val="000000" w:themeColor="text1"/>
                <w:sz w:val="24"/>
                <w:szCs w:val="24"/>
              </w:rPr>
              <w:t xml:space="preserve"> </w:t>
            </w:r>
            <w:r>
              <w:rPr>
                <w:rStyle w:val="Strong"/>
                <w:rFonts w:ascii="Times New Roman" w:hAnsi="Times New Roman"/>
                <w:b w:val="0"/>
                <w:bCs w:val="0"/>
                <w:color w:val="000000" w:themeColor="text1"/>
                <w:sz w:val="24"/>
                <w:szCs w:val="24"/>
              </w:rPr>
              <w:t>(grēmas)</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kas visbiežāk parādās pēc treknas, kalorijām bagātas maltītes. </w:t>
            </w:r>
            <w:r>
              <w:rPr>
                <w:rFonts w:ascii="Times New Roman" w:hAnsi="Times New Roman"/>
                <w:color w:val="000000" w:themeColor="text1"/>
                <w:sz w:val="24"/>
                <w:szCs w:val="24"/>
              </w:rPr>
              <w:t xml:space="preserve">Citas izpausmes var būt skāba garšas sajūta kaklā vai mutē, rīšanas grūtības </w:t>
            </w:r>
            <w:r>
              <w:rPr>
                <w:rFonts w:ascii="Times New Roman" w:hAnsi="Times New Roman"/>
                <w:color w:val="000000" w:themeColor="text1"/>
                <w:sz w:val="24"/>
                <w:szCs w:val="24"/>
              </w:rPr>
              <w:t>vai klepus.</w:t>
            </w:r>
          </w:p>
          <w:p w:rsidR="00775726">
            <w:pPr>
              <w:rPr>
                <w:rFonts w:ascii="Times New Roman" w:hAnsi="Times New Roman"/>
                <w:color w:val="000000" w:themeColor="text1"/>
                <w:sz w:val="24"/>
                <w:szCs w:val="24"/>
              </w:rPr>
            </w:pPr>
            <w:r>
              <w:rPr>
                <w:rFonts w:ascii="Times New Roman" w:hAnsi="Times New Roman"/>
                <w:color w:val="000000" w:themeColor="text1"/>
                <w:sz w:val="24"/>
                <w:szCs w:val="24"/>
              </w:rPr>
              <w:t>Veselīgi un atbilstoši uztura paradumi var palīdzēt kontrolēt un atvieglot slimības simptomus.</w:t>
            </w:r>
          </w:p>
          <w:p w:rsidR="00775726">
            <w:pPr>
              <w:rPr>
                <w:rFonts w:ascii="Times New Roman" w:hAnsi="Times New Roman"/>
                <w:color w:val="000000" w:themeColor="text1"/>
                <w:sz w:val="24"/>
                <w:szCs w:val="24"/>
              </w:rPr>
            </w:pPr>
            <w:r>
              <w:rPr>
                <w:rFonts w:ascii="Times New Roman" w:hAnsi="Times New Roman"/>
                <w:color w:val="000000" w:themeColor="text1"/>
                <w:sz w:val="24"/>
                <w:szCs w:val="24"/>
              </w:rPr>
              <w:t>Tomēr jāatceras, ka ne visiem pacientiem ar kuņģa atvilni ir simptomi, s</w:t>
            </w:r>
            <w:r>
              <w:rPr>
                <w:rFonts w:ascii="Times New Roman" w:hAnsi="Times New Roman"/>
                <w:color w:val="000000" w:themeColor="text1"/>
                <w:sz w:val="24"/>
                <w:szCs w:val="24"/>
              </w:rPr>
              <w:t xml:space="preserve">avukārt citiem pacientiem ir līdzīgi simptomi, bet nav </w:t>
            </w:r>
            <w:r>
              <w:rPr>
                <w:rFonts w:ascii="Times New Roman" w:hAnsi="Times New Roman"/>
                <w:color w:val="000000" w:themeColor="text1"/>
                <w:sz w:val="24"/>
                <w:szCs w:val="24"/>
              </w:rPr>
              <w:t>atviļņa</w:t>
            </w:r>
            <w:r>
              <w:rPr>
                <w:rFonts w:ascii="Times New Roman" w:hAnsi="Times New Roman"/>
                <w:color w:val="000000" w:themeColor="text1"/>
                <w:sz w:val="24"/>
                <w:szCs w:val="24"/>
              </w:rPr>
              <w:t>, jo cēlonis var būt cits.</w:t>
            </w:r>
          </w:p>
          <w:p w:rsidR="00775726">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Uztura ieteikumi:</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Ēdiet 5 – 6 reizes dienā (3 pamata maltītes un 2 uzkodas) mazām porcijām, regulāri (lielas maltītes palielina spiedienu kuņģī, un tādējādi </w:t>
            </w:r>
            <w:r>
              <w:rPr>
                <w:rFonts w:ascii="Times New Roman" w:hAnsi="Times New Roman"/>
                <w:color w:val="000000" w:themeColor="text1"/>
                <w:sz w:val="24"/>
                <w:szCs w:val="24"/>
              </w:rPr>
              <w:t>pasliktina simptomus). Tāpat ir jāaizvairās no maltīšu izlaišanas.</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Ieturiet maltīti mierīgā un komfortablā vidē, ēdiet sēžot taisni, mierīgi un nesteidzīgi, kārtīgi sakošļājot ēdienu.</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Vakariņās uzņemiet samazinātu pārtikas produktu daudzumu un neēdiet 2 – </w:t>
            </w:r>
            <w:r>
              <w:rPr>
                <w:rFonts w:ascii="Times New Roman" w:hAnsi="Times New Roman"/>
                <w:color w:val="000000" w:themeColor="text1"/>
                <w:sz w:val="24"/>
                <w:szCs w:val="24"/>
              </w:rPr>
              <w:t xml:space="preserve">3 stundas pirms </w:t>
            </w:r>
            <w:r>
              <w:rPr>
                <w:rFonts w:ascii="Times New Roman" w:hAnsi="Times New Roman"/>
                <w:color w:val="000000" w:themeColor="text1"/>
                <w:sz w:val="24"/>
                <w:szCs w:val="24"/>
              </w:rPr>
              <w:t>gulētiešanas</w:t>
            </w:r>
            <w:r>
              <w:rPr>
                <w:rFonts w:ascii="Times New Roman" w:hAnsi="Times New Roman"/>
                <w:color w:val="000000" w:themeColor="text1"/>
                <w:sz w:val="24"/>
                <w:szCs w:val="24"/>
              </w:rPr>
              <w:t>.</w:t>
            </w:r>
          </w:p>
          <w:p w:rsidR="00775726">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Daži produkti veicina barības vada apakšējā muskuļa atslābumu, kas savukārt veicina atvilni. Izvairieties vai ievērojami maziniet uzturā tos produktus, kas tieši Jums pastiprina sūdzības, provocē dedzinošo sajūtu pakrūtē (lai </w:t>
            </w:r>
            <w:r>
              <w:rPr>
                <w:rFonts w:ascii="Times New Roman" w:hAnsi="Times New Roman"/>
                <w:color w:val="000000" w:themeColor="text1"/>
                <w:sz w:val="24"/>
                <w:szCs w:val="24"/>
              </w:rPr>
              <w:t>to veiktu, var ieviest uztura dienasgrāmatu, pierakstot, kādi produkti dienas laikā uzņemti un secinot, kurš no produktiem veicinājis simptomu parādīšanos).</w:t>
            </w:r>
          </w:p>
          <w:p w:rsidR="00775726">
            <w:pPr>
              <w:pStyle w:val="ListParagraph"/>
              <w:spacing w:line="240" w:lineRule="auto"/>
              <w:ind w:left="360"/>
              <w:rPr>
                <w:rFonts w:ascii="Times New Roman" w:hAnsi="Times New Roman"/>
                <w:color w:val="000000" w:themeColor="text1"/>
                <w:sz w:val="24"/>
                <w:szCs w:val="24"/>
              </w:rPr>
            </w:pPr>
          </w:p>
          <w:p w:rsidR="00775726">
            <w:pPr>
              <w:pStyle w:val="ListParagraph"/>
              <w:spacing w:line="240" w:lineRule="auto"/>
              <w:rPr>
                <w:rFonts w:ascii="Times New Roman" w:hAnsi="Times New Roman"/>
                <w:color w:val="000000" w:themeColor="text1"/>
                <w:sz w:val="24"/>
                <w:szCs w:val="24"/>
              </w:rPr>
            </w:pPr>
            <w:r>
              <w:rPr>
                <w:rFonts w:ascii="Times New Roman" w:hAnsi="Times New Roman"/>
                <w:b/>
                <w:bCs/>
                <w:color w:val="000000" w:themeColor="text1"/>
                <w:sz w:val="24"/>
                <w:szCs w:val="24"/>
              </w:rPr>
              <w:t>Visbiežāk sūdzības pastiprina</w:t>
            </w:r>
            <w:r>
              <w:rPr>
                <w:rFonts w:ascii="Times New Roman" w:hAnsi="Times New Roman"/>
                <w:color w:val="000000" w:themeColor="text1"/>
                <w:sz w:val="24"/>
                <w:szCs w:val="24"/>
              </w:rPr>
              <w:t>:</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trekni  un asi ēdieni (jo tauki kuņģī uzturas ilgāk);</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šokolāde;</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kafija;</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piparmētras (piparmētru tēja, konfektes ar piparmētru garšu);</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tomāti un to produkti;</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citrusa augļi;</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sīpoli un ķiploki;</w:t>
            </w:r>
          </w:p>
          <w:p w:rsidR="00775726">
            <w:pPr>
              <w:pStyle w:val="ListParagraph"/>
              <w:numPr>
                <w:ilvl w:val="0"/>
                <w:numId w:val="3"/>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alkohols.</w:t>
            </w:r>
          </w:p>
          <w:p w:rsidR="00775726">
            <w:pPr>
              <w:pStyle w:val="ListParagraph"/>
              <w:spacing w:line="240" w:lineRule="auto"/>
              <w:rPr>
                <w:rFonts w:ascii="Times New Roman" w:hAnsi="Times New Roman"/>
                <w:color w:val="000000" w:themeColor="text1"/>
                <w:sz w:val="24"/>
                <w:szCs w:val="24"/>
              </w:rPr>
            </w:pP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Palieliniet liesu olbaltumvielām bagātu produktu (liesa gaļa, zivis,  vājpiena biezpiens, siers ar samazināt</w:t>
            </w:r>
            <w:r>
              <w:rPr>
                <w:rFonts w:ascii="Times New Roman" w:hAnsi="Times New Roman"/>
                <w:color w:val="000000" w:themeColor="text1"/>
                <w:sz w:val="24"/>
                <w:szCs w:val="24"/>
              </w:rPr>
              <w:t>u tauku saturu; pākšaugi) daudzumu uzturā.</w:t>
            </w:r>
          </w:p>
          <w:p w:rsidR="00775726">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Dzīvesveida ieteikumi: </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Ja Jums ir palielināts svars, tad samaziniet un kontrolējiet to.</w:t>
            </w:r>
          </w:p>
          <w:p w:rsidR="00775726">
            <w:pPr>
              <w:pStyle w:val="ListParagraph"/>
              <w:numPr>
                <w:ilvl w:val="0"/>
                <w:numId w:val="2"/>
              </w:num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Guļot paceliet gultas galvas daļu, novietojot paliktņus zem gultas kājām vai zem matrača, bet nelietojot papildu </w:t>
            </w:r>
            <w:r>
              <w:rPr>
                <w:rFonts w:ascii="Times New Roman" w:hAnsi="Times New Roman"/>
                <w:color w:val="000000" w:themeColor="text1"/>
                <w:sz w:val="24"/>
                <w:szCs w:val="24"/>
              </w:rPr>
              <w:t>spilvenus šim nolūkam, jo tādā gadījumā pieaugs spiediens kuņģī un arī simptomi.</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Ja smēķējat, atmetiet smēķēšanu.</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Pēc ēšanas ieteicams pastaigāties un atrasties vertikālā stāvokli 45 – 60 minūtes; jāizvairās no darbībām, kuras veicot, ilgāku laiku jāatroda</w:t>
            </w:r>
            <w:r>
              <w:rPr>
                <w:rFonts w:ascii="Times New Roman" w:hAnsi="Times New Roman"/>
                <w:color w:val="000000" w:themeColor="text1"/>
                <w:sz w:val="24"/>
                <w:szCs w:val="24"/>
              </w:rPr>
              <w:t xml:space="preserve">s saliektā pozīcijā, piemēram, veļas mašīnas iztukšošana, mantu savākšana no grīdas u.c. </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Pēc ēšanas vēlams vismaz 2 stundas nenodarboties ar aktīvām fiziskām </w:t>
            </w:r>
            <w:r>
              <w:rPr>
                <w:rFonts w:ascii="Times New Roman" w:hAnsi="Times New Roman"/>
                <w:color w:val="000000" w:themeColor="text1"/>
                <w:sz w:val="24"/>
                <w:szCs w:val="24"/>
              </w:rPr>
              <w:t>aktivitātēm.</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Izvairīties no apģērba, kas ir pārāk ciešs vēdera daļā (arī ciešas jostas).</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Vēlams g</w:t>
            </w:r>
            <w:r>
              <w:rPr>
                <w:rFonts w:ascii="Times New Roman" w:hAnsi="Times New Roman"/>
                <w:color w:val="000000" w:themeColor="text1"/>
                <w:sz w:val="24"/>
                <w:szCs w:val="24"/>
              </w:rPr>
              <w:t>ulēt uz kreisajiem sāniem nevis labajiem.</w:t>
            </w:r>
          </w:p>
          <w:p w:rsidR="00775726">
            <w:pPr>
              <w:pStyle w:val="ListParagraph"/>
              <w:numPr>
                <w:ilvl w:val="0"/>
                <w:numId w:val="2"/>
              </w:numP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Izvairieties no aizcietējumiem, tie var palielināt </w:t>
            </w:r>
            <w:r>
              <w:rPr>
                <w:rFonts w:ascii="Times New Roman" w:hAnsi="Times New Roman"/>
                <w:color w:val="000000" w:themeColor="text1"/>
                <w:sz w:val="24"/>
                <w:szCs w:val="24"/>
              </w:rPr>
              <w:t>atviļņa</w:t>
            </w:r>
            <w:r>
              <w:rPr>
                <w:rFonts w:ascii="Times New Roman" w:hAnsi="Times New Roman"/>
                <w:color w:val="000000" w:themeColor="text1"/>
                <w:sz w:val="24"/>
                <w:szCs w:val="24"/>
              </w:rPr>
              <w:t xml:space="preserve"> spiedienu vēdera</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dobumā.</w:t>
            </w:r>
          </w:p>
          <w:p w:rsidR="00775726">
            <w:pPr>
              <w:rPr>
                <w:rFonts w:ascii="Times New Roman" w:hAnsi="Times New Roman"/>
                <w:color w:val="000000" w:themeColor="text1"/>
                <w:sz w:val="24"/>
                <w:szCs w:val="24"/>
              </w:rPr>
            </w:pPr>
            <w:r>
              <w:rPr>
                <w:rFonts w:ascii="Times New Roman" w:hAnsi="Times New Roman"/>
                <w:color w:val="000000" w:themeColor="text1"/>
                <w:sz w:val="24"/>
                <w:szCs w:val="24"/>
              </w:rPr>
              <w:t>Regulāri nodarbojaties ar fiziskām aktivitātēm, tomēr pārdomājiet fizisko aktivitāšu veidu. Daži vingrinājumi var palielināt spied</w:t>
            </w:r>
            <w:r>
              <w:rPr>
                <w:rFonts w:ascii="Times New Roman" w:hAnsi="Times New Roman"/>
                <w:color w:val="000000" w:themeColor="text1"/>
                <w:sz w:val="24"/>
                <w:szCs w:val="24"/>
              </w:rPr>
              <w:t xml:space="preserve">ienu vēdera apvidū un pastiprināt atvilni, kā, piemēram, stāvēšana uz galvas un dažas </w:t>
            </w:r>
            <w:r>
              <w:rPr>
                <w:rFonts w:ascii="Times New Roman" w:hAnsi="Times New Roman"/>
                <w:color w:val="000000" w:themeColor="text1"/>
                <w:sz w:val="24"/>
                <w:szCs w:val="24"/>
              </w:rPr>
              <w:t>jogas</w:t>
            </w:r>
            <w:r>
              <w:rPr>
                <w:rFonts w:ascii="Times New Roman" w:hAnsi="Times New Roman"/>
                <w:color w:val="000000" w:themeColor="text1"/>
                <w:sz w:val="24"/>
                <w:szCs w:val="24"/>
              </w:rPr>
              <w:t xml:space="preserve"> pozīcijas ar galvu uz leju.</w:t>
            </w:r>
          </w:p>
        </w:tc>
      </w:tr>
      <w:tr w:rsidTr="00254FB3">
        <w:tblPrEx>
          <w:tblW w:w="0" w:type="auto"/>
          <w:tblLook w:val="04A0"/>
        </w:tblPrEx>
        <w:tc>
          <w:tcPr>
            <w:tcW w:w="2559" w:type="dxa"/>
            <w:tcBorders>
              <w:top w:val="nil"/>
              <w:left w:val="nil"/>
              <w:bottom w:val="single" w:sz="4" w:space="0" w:color="auto"/>
              <w:right w:val="nil"/>
            </w:tcBorders>
          </w:tcPr>
          <w:p w:rsidR="00775726">
            <w:pPr>
              <w:spacing w:line="276" w:lineRule="auto"/>
              <w:jc w:val="left"/>
              <w:rPr>
                <w:rFonts w:ascii="Times New Roman" w:hAnsi="Times New Roman"/>
                <w:b/>
                <w:bCs/>
                <w:color w:val="000000" w:themeColor="text1"/>
                <w:sz w:val="24"/>
                <w:szCs w:val="24"/>
              </w:rPr>
            </w:pPr>
          </w:p>
        </w:tc>
        <w:tc>
          <w:tcPr>
            <w:tcW w:w="2820" w:type="dxa"/>
            <w:tcBorders>
              <w:top w:val="nil"/>
              <w:left w:val="nil"/>
              <w:bottom w:val="single" w:sz="4" w:space="0" w:color="auto"/>
              <w:right w:val="nil"/>
            </w:tcBorders>
          </w:tcPr>
          <w:p w:rsidR="00775726">
            <w:pPr>
              <w:spacing w:line="276" w:lineRule="auto"/>
              <w:jc w:val="center"/>
              <w:rPr>
                <w:rFonts w:ascii="Times New Roman" w:hAnsi="Times New Roman"/>
                <w:b/>
                <w:bCs/>
                <w:color w:val="000000" w:themeColor="text1"/>
                <w:sz w:val="24"/>
                <w:szCs w:val="24"/>
              </w:rPr>
            </w:pPr>
          </w:p>
        </w:tc>
        <w:tc>
          <w:tcPr>
            <w:tcW w:w="3143" w:type="dxa"/>
            <w:tcBorders>
              <w:top w:val="nil"/>
              <w:left w:val="nil"/>
              <w:bottom w:val="single" w:sz="4" w:space="0" w:color="auto"/>
              <w:right w:val="nil"/>
            </w:tcBorders>
          </w:tcPr>
          <w:p w:rsidR="00775726">
            <w:pPr>
              <w:spacing w:line="276" w:lineRule="auto"/>
              <w:jc w:val="center"/>
              <w:rPr>
                <w:rFonts w:ascii="Times New Roman" w:hAnsi="Times New Roman"/>
                <w:b/>
                <w:bCs/>
                <w:color w:val="000000" w:themeColor="text1"/>
                <w:sz w:val="24"/>
                <w:szCs w:val="24"/>
              </w:rPr>
            </w:pPr>
          </w:p>
        </w:tc>
      </w:tr>
      <w:tr w:rsidTr="00254FB3">
        <w:tblPrEx>
          <w:tblW w:w="0" w:type="auto"/>
          <w:tblLook w:val="04A0"/>
        </w:tblPrEx>
        <w:tc>
          <w:tcPr>
            <w:tcW w:w="2559" w:type="dxa"/>
            <w:tcBorders>
              <w:top w:val="single" w:sz="4" w:space="0" w:color="auto"/>
              <w:left w:val="single" w:sz="4" w:space="0" w:color="auto"/>
              <w:bottom w:val="single" w:sz="4" w:space="0" w:color="auto"/>
              <w:right w:val="single" w:sz="4" w:space="0" w:color="auto"/>
            </w:tcBorders>
          </w:tcPr>
          <w:p w:rsidR="00775726">
            <w:pPr>
              <w:spacing w:line="276" w:lineRule="auto"/>
              <w:jc w:val="center"/>
              <w:rPr>
                <w:rFonts w:ascii="Times New Roman" w:hAnsi="Times New Roman"/>
                <w:sz w:val="24"/>
                <w:szCs w:val="24"/>
              </w:rPr>
            </w:pPr>
            <w:r>
              <w:rPr>
                <w:rFonts w:ascii="Times New Roman" w:hAnsi="Times New Roman"/>
                <w:b/>
                <w:bCs/>
                <w:color w:val="000000" w:themeColor="text1"/>
                <w:sz w:val="24"/>
                <w:szCs w:val="24"/>
              </w:rPr>
              <w:t>Produktu veids</w:t>
            </w:r>
          </w:p>
        </w:tc>
        <w:tc>
          <w:tcPr>
            <w:tcW w:w="2820" w:type="dxa"/>
            <w:tcBorders>
              <w:top w:val="single" w:sz="4" w:space="0" w:color="auto"/>
              <w:left w:val="single" w:sz="4" w:space="0" w:color="auto"/>
              <w:bottom w:val="single" w:sz="4" w:space="0" w:color="auto"/>
              <w:right w:val="single" w:sz="4" w:space="0" w:color="auto"/>
            </w:tcBorders>
          </w:tcPr>
          <w:p w:rsidR="00775726">
            <w:pPr>
              <w:spacing w:line="276" w:lineRule="auto"/>
              <w:jc w:val="center"/>
              <w:rPr>
                <w:rFonts w:ascii="Times New Roman" w:hAnsi="Times New Roman"/>
                <w:sz w:val="24"/>
                <w:szCs w:val="24"/>
              </w:rPr>
            </w:pPr>
            <w:r>
              <w:rPr>
                <w:rFonts w:ascii="Times New Roman" w:hAnsi="Times New Roman"/>
                <w:b/>
                <w:bCs/>
                <w:color w:val="000000" w:themeColor="text1"/>
                <w:sz w:val="24"/>
                <w:szCs w:val="24"/>
              </w:rPr>
              <w:t>Ieteicamie produkti</w:t>
            </w:r>
          </w:p>
        </w:tc>
        <w:tc>
          <w:tcPr>
            <w:tcW w:w="3143" w:type="dxa"/>
            <w:tcBorders>
              <w:top w:val="single" w:sz="4" w:space="0" w:color="auto"/>
              <w:left w:val="single" w:sz="4" w:space="0" w:color="auto"/>
              <w:bottom w:val="single" w:sz="4" w:space="0" w:color="auto"/>
              <w:right w:val="single" w:sz="4" w:space="0" w:color="auto"/>
            </w:tcBorders>
          </w:tcPr>
          <w:p w:rsidR="00775726">
            <w:pPr>
              <w:spacing w:line="276" w:lineRule="auto"/>
              <w:jc w:val="center"/>
              <w:rPr>
                <w:rFonts w:ascii="Times New Roman" w:hAnsi="Times New Roman"/>
                <w:sz w:val="24"/>
                <w:szCs w:val="24"/>
              </w:rPr>
            </w:pPr>
            <w:r>
              <w:rPr>
                <w:rFonts w:ascii="Times New Roman" w:hAnsi="Times New Roman"/>
                <w:b/>
                <w:bCs/>
                <w:color w:val="000000" w:themeColor="text1"/>
                <w:sz w:val="24"/>
                <w:szCs w:val="24"/>
              </w:rPr>
              <w:t>Produkti, kas biežāk ir saistīti ar nepatīkamiem simptomiem</w:t>
            </w:r>
          </w:p>
        </w:tc>
      </w:tr>
      <w:tr w:rsidTr="00254FB3">
        <w:tblPrEx>
          <w:tblW w:w="0" w:type="auto"/>
          <w:tblLook w:val="04A0"/>
        </w:tblPrEx>
        <w:tc>
          <w:tcPr>
            <w:tcW w:w="2559" w:type="dxa"/>
            <w:tcBorders>
              <w:top w:val="single" w:sz="4" w:space="0" w:color="auto"/>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b/>
                <w:bCs/>
                <w:sz w:val="24"/>
                <w:szCs w:val="24"/>
              </w:rPr>
            </w:pPr>
            <w:r>
              <w:rPr>
                <w:b/>
                <w:bCs/>
                <w:color w:val="000000" w:themeColor="text1"/>
                <w:sz w:val="24"/>
                <w:szCs w:val="24"/>
              </w:rPr>
              <w:t>Graudaugi</w:t>
            </w:r>
          </w:p>
        </w:tc>
        <w:tc>
          <w:tcPr>
            <w:tcW w:w="2820" w:type="dxa"/>
            <w:tcBorders>
              <w:top w:val="single" w:sz="4" w:space="0" w:color="auto"/>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Pilngraudu</w:t>
            </w:r>
            <w:r>
              <w:rPr>
                <w:color w:val="000000" w:themeColor="text1"/>
                <w:sz w:val="24"/>
                <w:szCs w:val="24"/>
              </w:rPr>
              <w:t xml:space="preserve"> maize, </w:t>
            </w:r>
            <w:r>
              <w:rPr>
                <w:color w:val="000000" w:themeColor="text1"/>
                <w:sz w:val="24"/>
                <w:szCs w:val="24"/>
              </w:rPr>
              <w:t xml:space="preserve">rupjmaize (lietot bez garozas), </w:t>
            </w:r>
            <w:r>
              <w:rPr>
                <w:color w:val="000000" w:themeColor="text1"/>
                <w:sz w:val="24"/>
                <w:szCs w:val="24"/>
              </w:rPr>
              <w:t>pilngraudu</w:t>
            </w:r>
            <w:r>
              <w:rPr>
                <w:color w:val="000000" w:themeColor="text1"/>
                <w:sz w:val="24"/>
                <w:szCs w:val="24"/>
              </w:rPr>
              <w:t xml:space="preserve"> putras (īpaši auzu pārslu biezputra), makaroni, rīsi.</w:t>
            </w:r>
          </w:p>
        </w:tc>
        <w:tc>
          <w:tcPr>
            <w:tcW w:w="3143" w:type="dxa"/>
            <w:tcBorders>
              <w:top w:val="single" w:sz="4" w:space="0" w:color="auto"/>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Bulciņas, cepumi, kēksi, picas, saldie virtuļi, pankūkas u.c. konditorejas izstrādājumi.</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b/>
                <w:bCs/>
                <w:sz w:val="24"/>
                <w:szCs w:val="24"/>
              </w:rPr>
            </w:pPr>
            <w:r>
              <w:rPr>
                <w:b/>
                <w:bCs/>
                <w:color w:val="000000" w:themeColor="text1"/>
                <w:sz w:val="24"/>
                <w:szCs w:val="24"/>
              </w:rPr>
              <w:t>Kartupeļi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Vārīti kartupeļi, kartupeļu biezputra.</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i/>
                <w:iCs/>
                <w:color w:val="000000" w:themeColor="text1"/>
                <w:sz w:val="24"/>
                <w:szCs w:val="24"/>
              </w:rPr>
              <w:t>Frī</w:t>
            </w:r>
            <w:r>
              <w:rPr>
                <w:i/>
                <w:iCs/>
                <w:color w:val="000000" w:themeColor="text1"/>
                <w:sz w:val="24"/>
                <w:szCs w:val="24"/>
              </w:rPr>
              <w:t xml:space="preserve"> </w:t>
            </w:r>
            <w:r>
              <w:rPr>
                <w:color w:val="000000" w:themeColor="text1"/>
                <w:sz w:val="24"/>
                <w:szCs w:val="24"/>
              </w:rPr>
              <w:t>kartupeļi, cepti kartupeļi, kartupeļu pankūkas.</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40" w:lineRule="auto"/>
              <w:rPr>
                <w:rFonts w:ascii="Times New Roman" w:hAnsi="Times New Roman"/>
                <w:b/>
                <w:bCs/>
                <w:sz w:val="24"/>
                <w:szCs w:val="24"/>
              </w:rPr>
            </w:pPr>
            <w:r>
              <w:rPr>
                <w:rFonts w:ascii="Times New Roman" w:hAnsi="Times New Roman"/>
                <w:b/>
                <w:bCs/>
                <w:color w:val="000000" w:themeColor="text1"/>
                <w:sz w:val="24"/>
                <w:szCs w:val="24"/>
              </w:rPr>
              <w:t>Dārzeņi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rStyle w:val="hps"/>
                <w:color w:val="000000" w:themeColor="text1"/>
                <w:sz w:val="24"/>
                <w:szCs w:val="24"/>
              </w:rPr>
            </w:pPr>
            <w:r>
              <w:rPr>
                <w:rStyle w:val="hps"/>
                <w:color w:val="000000" w:themeColor="text1"/>
                <w:sz w:val="24"/>
                <w:szCs w:val="24"/>
              </w:rPr>
              <w:t>Sakņu dārzeņi (burkāni), brokoļi, sparģeļi.</w:t>
            </w:r>
          </w:p>
          <w:p w:rsidR="00775726">
            <w:pPr>
              <w:pStyle w:val="NormalWeb"/>
              <w:spacing w:line="276" w:lineRule="auto"/>
              <w:rPr>
                <w:sz w:val="24"/>
                <w:szCs w:val="24"/>
              </w:rPr>
            </w:pPr>
            <w:r>
              <w:rPr>
                <w:rStyle w:val="hps"/>
                <w:color w:val="000000" w:themeColor="text1"/>
                <w:sz w:val="24"/>
                <w:szCs w:val="24"/>
              </w:rPr>
              <w:t>Svaigi, vārīti, sautēti dārzeņi, konservēti (bez etiķa), lapu salāti, selerija, fenhelis.</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 xml:space="preserve">Cepti dārzeņi, tomāti, tomātu mērce, svaigi ķiploki, </w:t>
            </w:r>
            <w:r>
              <w:rPr>
                <w:color w:val="000000" w:themeColor="text1"/>
                <w:sz w:val="24"/>
                <w:szCs w:val="24"/>
              </w:rPr>
              <w:t>sīpoli, dārzeņu sulas.</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b/>
                <w:bCs/>
                <w:sz w:val="24"/>
                <w:szCs w:val="24"/>
              </w:rPr>
            </w:pPr>
            <w:r>
              <w:rPr>
                <w:rFonts w:ascii="Times New Roman" w:hAnsi="Times New Roman"/>
                <w:b/>
                <w:bCs/>
                <w:color w:val="000000" w:themeColor="text1"/>
                <w:sz w:val="24"/>
                <w:szCs w:val="24"/>
              </w:rPr>
              <w:t>Augļi, ogas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color w:val="000000" w:themeColor="text1"/>
                <w:sz w:val="24"/>
                <w:szCs w:val="24"/>
              </w:rPr>
            </w:pPr>
            <w:r>
              <w:rPr>
                <w:color w:val="000000" w:themeColor="text1"/>
                <w:sz w:val="24"/>
                <w:szCs w:val="24"/>
              </w:rPr>
              <w:t>Svaigi, konservēti augļi, izņemot citrusaugļus.</w:t>
            </w:r>
          </w:p>
          <w:p w:rsidR="00775726">
            <w:pPr>
              <w:pStyle w:val="NormalWeb"/>
              <w:spacing w:line="276" w:lineRule="auto"/>
              <w:rPr>
                <w:color w:val="000000" w:themeColor="text1"/>
                <w:sz w:val="24"/>
                <w:szCs w:val="24"/>
              </w:rPr>
            </w:pPr>
            <w:r>
              <w:rPr>
                <w:color w:val="000000" w:themeColor="text1"/>
                <w:sz w:val="24"/>
                <w:szCs w:val="24"/>
              </w:rPr>
              <w:t>Arbūzi, bumbieri, melones.</w:t>
            </w:r>
          </w:p>
          <w:p w:rsidR="00775726">
            <w:pPr>
              <w:pStyle w:val="NormalWeb"/>
              <w:spacing w:line="276" w:lineRule="auto"/>
              <w:rPr>
                <w:sz w:val="24"/>
                <w:szCs w:val="24"/>
              </w:rPr>
            </w:pP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 xml:space="preserve">Citrusaugļi: apelsīni, citroni, mandarīni, greipfrūti, pamelo; citrusaugļu dzērieni, sulas,  </w:t>
            </w:r>
            <w:r>
              <w:rPr>
                <w:color w:val="000000" w:themeColor="text1"/>
                <w:sz w:val="24"/>
                <w:szCs w:val="24"/>
              </w:rPr>
              <w:t>ananasi</w:t>
            </w:r>
            <w:r>
              <w:rPr>
                <w:color w:val="000000" w:themeColor="text1"/>
                <w:sz w:val="24"/>
                <w:szCs w:val="24"/>
              </w:rPr>
              <w:t>, žāvēti saldi augļi.</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color w:val="000000" w:themeColor="text1"/>
                <w:sz w:val="24"/>
                <w:szCs w:val="24"/>
              </w:rPr>
            </w:pPr>
            <w:r>
              <w:rPr>
                <w:rFonts w:ascii="Times New Roman" w:hAnsi="Times New Roman"/>
                <w:b/>
                <w:bCs/>
                <w:color w:val="000000" w:themeColor="text1"/>
                <w:sz w:val="24"/>
                <w:szCs w:val="24"/>
              </w:rPr>
              <w:t>Gaļa, zivis, olas</w:t>
            </w:r>
          </w:p>
          <w:p w:rsidR="00775726">
            <w:pPr>
              <w:spacing w:line="276" w:lineRule="auto"/>
              <w:rPr>
                <w:rFonts w:ascii="Times New Roman" w:hAnsi="Times New Roman"/>
                <w:b/>
                <w:bCs/>
                <w:sz w:val="24"/>
                <w:szCs w:val="24"/>
              </w:rPr>
            </w:pPr>
            <w:r>
              <w:rPr>
                <w:rFonts w:ascii="Times New Roman" w:hAnsi="Times New Roman"/>
                <w:b/>
                <w:bCs/>
                <w:color w:val="000000" w:themeColor="text1"/>
                <w:sz w:val="24"/>
                <w:szCs w:val="24"/>
              </w:rPr>
              <w:t>pāk</w:t>
            </w:r>
            <w:r>
              <w:rPr>
                <w:rFonts w:ascii="Times New Roman" w:hAnsi="Times New Roman"/>
                <w:b/>
                <w:bCs/>
                <w:color w:val="000000" w:themeColor="text1"/>
                <w:sz w:val="24"/>
                <w:szCs w:val="24"/>
              </w:rPr>
              <w:t>šaugi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color w:val="000000" w:themeColor="text1"/>
                <w:sz w:val="24"/>
                <w:szCs w:val="24"/>
              </w:rPr>
            </w:pPr>
            <w:r>
              <w:rPr>
                <w:color w:val="000000" w:themeColor="text1"/>
                <w:sz w:val="24"/>
                <w:szCs w:val="24"/>
              </w:rPr>
              <w:t>Liesa gaļa, īpaši putnu (bez ādas).</w:t>
            </w:r>
          </w:p>
          <w:p w:rsidR="00775726">
            <w:pPr>
              <w:pStyle w:val="NormalWeb"/>
              <w:spacing w:before="0" w:beforeAutospacing="0" w:after="0" w:afterAutospacing="0" w:line="276" w:lineRule="auto"/>
              <w:rPr>
                <w:color w:val="000000" w:themeColor="text1"/>
                <w:sz w:val="24"/>
                <w:szCs w:val="24"/>
              </w:rPr>
            </w:pPr>
            <w:r>
              <w:rPr>
                <w:color w:val="000000" w:themeColor="text1"/>
                <w:sz w:val="24"/>
                <w:szCs w:val="24"/>
              </w:rPr>
              <w:t>Liesas zivis (menca, asaris, lasis, līnis, u.c.).</w:t>
            </w:r>
          </w:p>
          <w:p w:rsidR="00775726">
            <w:pPr>
              <w:pStyle w:val="NormalWeb"/>
              <w:spacing w:before="0" w:beforeAutospacing="0" w:after="0" w:afterAutospacing="0" w:line="276" w:lineRule="auto"/>
              <w:rPr>
                <w:color w:val="000000" w:themeColor="text1"/>
                <w:sz w:val="24"/>
                <w:szCs w:val="24"/>
              </w:rPr>
            </w:pPr>
            <w:r>
              <w:rPr>
                <w:color w:val="000000" w:themeColor="text1"/>
                <w:sz w:val="24"/>
                <w:szCs w:val="24"/>
              </w:rPr>
              <w:t>Gaļu un zivis (ieteicams sautēt, vārīt, tvaicēt).</w:t>
            </w:r>
          </w:p>
          <w:p w:rsidR="00775726">
            <w:pPr>
              <w:pStyle w:val="NormalWeb"/>
              <w:spacing w:before="0" w:beforeAutospacing="0" w:after="0" w:afterAutospacing="0" w:line="276" w:lineRule="auto"/>
              <w:rPr>
                <w:sz w:val="24"/>
                <w:szCs w:val="24"/>
              </w:rPr>
            </w:pPr>
            <w:r>
              <w:rPr>
                <w:color w:val="000000" w:themeColor="text1"/>
                <w:sz w:val="24"/>
                <w:szCs w:val="24"/>
              </w:rPr>
              <w:t>Vārītas olas, omlete.</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before="0" w:beforeAutospacing="0" w:after="0" w:afterAutospacing="0" w:line="276" w:lineRule="auto"/>
              <w:rPr>
                <w:color w:val="000000" w:themeColor="text1"/>
                <w:sz w:val="24"/>
                <w:szCs w:val="24"/>
              </w:rPr>
            </w:pPr>
            <w:r>
              <w:rPr>
                <w:color w:val="000000" w:themeColor="text1"/>
                <w:sz w:val="24"/>
                <w:szCs w:val="24"/>
              </w:rPr>
              <w:t>Cepta, kūpināta, pikanta, trekna gaļa, putnu gaļas āda, desas, konservi.</w:t>
            </w:r>
          </w:p>
          <w:p w:rsidR="00775726">
            <w:pPr>
              <w:pStyle w:val="NormalWeb"/>
              <w:spacing w:before="0" w:beforeAutospacing="0" w:after="0" w:afterAutospacing="0" w:line="276" w:lineRule="auto"/>
              <w:rPr>
                <w:color w:val="000000" w:themeColor="text1"/>
                <w:sz w:val="24"/>
                <w:szCs w:val="24"/>
              </w:rPr>
            </w:pPr>
            <w:r>
              <w:rPr>
                <w:color w:val="000000" w:themeColor="text1"/>
                <w:sz w:val="24"/>
                <w:szCs w:val="24"/>
              </w:rPr>
              <w:t xml:space="preserve">Ceptas, </w:t>
            </w:r>
            <w:r>
              <w:rPr>
                <w:color w:val="000000" w:themeColor="text1"/>
                <w:sz w:val="24"/>
                <w:szCs w:val="24"/>
              </w:rPr>
              <w:t>kūpinātas, treknas zivis.</w:t>
            </w:r>
          </w:p>
          <w:p w:rsidR="00775726">
            <w:pPr>
              <w:pStyle w:val="NormalWeb"/>
              <w:spacing w:before="0" w:beforeAutospacing="0" w:after="0" w:afterAutospacing="0" w:line="276" w:lineRule="auto"/>
              <w:rPr>
                <w:color w:val="000000" w:themeColor="text1"/>
                <w:sz w:val="24"/>
                <w:szCs w:val="24"/>
              </w:rPr>
            </w:pPr>
            <w:r>
              <w:rPr>
                <w:color w:val="000000" w:themeColor="text1"/>
                <w:sz w:val="24"/>
                <w:szCs w:val="24"/>
              </w:rPr>
              <w:t>Ceptas olas, trekni saldie vai pikanti olu ēdieni.</w:t>
            </w:r>
          </w:p>
          <w:p w:rsidR="00775726">
            <w:pPr>
              <w:pStyle w:val="NormalWeb"/>
              <w:spacing w:before="0" w:beforeAutospacing="0" w:after="0" w:afterAutospacing="0" w:line="276" w:lineRule="auto"/>
              <w:rPr>
                <w:sz w:val="24"/>
                <w:szCs w:val="24"/>
              </w:rPr>
            </w:pP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b/>
                <w:bCs/>
                <w:sz w:val="24"/>
                <w:szCs w:val="24"/>
              </w:rPr>
            </w:pPr>
            <w:r>
              <w:rPr>
                <w:rFonts w:ascii="Times New Roman" w:hAnsi="Times New Roman"/>
                <w:b/>
                <w:bCs/>
                <w:color w:val="000000" w:themeColor="text1"/>
                <w:sz w:val="24"/>
                <w:szCs w:val="24"/>
              </w:rPr>
              <w:t>Piena produkti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Liesi piena produkti:                  piens (1,5%), vājpiena jogurts, kefīrs, siers (&lt;25% tauku sausnā).</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Piena produkti ar augstu tauku saturu: pilnpiens, skābai</w:t>
            </w:r>
            <w:r>
              <w:rPr>
                <w:color w:val="000000" w:themeColor="text1"/>
                <w:sz w:val="24"/>
                <w:szCs w:val="24"/>
              </w:rPr>
              <w:t>s krējums (&gt;20% tauku), sieri ar augstu tauku saturu (&gt;25% sausnā), saldējums.</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b/>
                <w:bCs/>
                <w:sz w:val="24"/>
                <w:szCs w:val="24"/>
              </w:rPr>
            </w:pPr>
            <w:r>
              <w:rPr>
                <w:rFonts w:ascii="Times New Roman" w:hAnsi="Times New Roman"/>
                <w:b/>
                <w:bCs/>
                <w:color w:val="000000" w:themeColor="text1"/>
                <w:sz w:val="24"/>
                <w:szCs w:val="24"/>
              </w:rPr>
              <w:t>Saldumi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Ieteicams ierobežot saldumu lietošanu. </w:t>
            </w:r>
          </w:p>
          <w:p w:rsidR="00775726">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Cukurs mazos daudzumos, ievārījums, marmelāde, medus, karameles, zefīrs, īriss, želejas.</w:t>
            </w:r>
          </w:p>
          <w:p w:rsidR="00775726">
            <w:pPr>
              <w:pStyle w:val="NoSpacing"/>
              <w:rPr>
                <w:rFonts w:ascii="Times New Roman" w:hAnsi="Times New Roman" w:cs="Times New Roman"/>
                <w:sz w:val="24"/>
                <w:szCs w:val="24"/>
              </w:rPr>
            </w:pPr>
            <w:r>
              <w:rPr>
                <w:rFonts w:ascii="Times New Roman" w:hAnsi="Times New Roman" w:cs="Times New Roman"/>
                <w:color w:val="000000" w:themeColor="text1"/>
                <w:sz w:val="24"/>
                <w:szCs w:val="24"/>
              </w:rPr>
              <w:t>Netrekni cepumi un pudiņi.</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 xml:space="preserve">Šokolāde, konfektes, saldējums, kūkas, pilnpiena treknie pudiņi, marcipāns, halva. </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sz w:val="24"/>
                <w:szCs w:val="24"/>
              </w:rPr>
            </w:pPr>
            <w:r>
              <w:rPr>
                <w:rFonts w:ascii="Times New Roman" w:hAnsi="Times New Roman"/>
                <w:b/>
                <w:bCs/>
                <w:color w:val="000000" w:themeColor="text1"/>
                <w:sz w:val="24"/>
                <w:szCs w:val="24"/>
              </w:rPr>
              <w:t>Taukvielas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color w:val="000000" w:themeColor="text1"/>
                <w:sz w:val="24"/>
                <w:szCs w:val="24"/>
              </w:rPr>
            </w:pPr>
            <w:r>
              <w:rPr>
                <w:color w:val="000000" w:themeColor="text1"/>
                <w:sz w:val="24"/>
                <w:szCs w:val="24"/>
              </w:rPr>
              <w:t>Nelielā daudzumā                       (1-2 tējkarotes ēdienreizē), priekšroka dodama augu eļļām.</w:t>
            </w:r>
          </w:p>
          <w:p w:rsidR="00775726">
            <w:pPr>
              <w:pStyle w:val="NormalWeb"/>
              <w:spacing w:line="276" w:lineRule="auto"/>
              <w:rPr>
                <w:sz w:val="24"/>
                <w:szCs w:val="24"/>
              </w:rPr>
            </w:pP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Augu eļļa un sviests lielos daudzumos, speķis, majonēze, krēj</w:t>
            </w:r>
            <w:r>
              <w:rPr>
                <w:color w:val="000000" w:themeColor="text1"/>
                <w:sz w:val="24"/>
                <w:szCs w:val="24"/>
              </w:rPr>
              <w:t>ums, saldais krējums, margarīns (ierobežot līdz 4-6 tējkarotēm dienā).</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sz w:val="24"/>
                <w:szCs w:val="24"/>
              </w:rPr>
            </w:pPr>
            <w:r>
              <w:rPr>
                <w:rFonts w:ascii="Times New Roman" w:hAnsi="Times New Roman"/>
                <w:b/>
                <w:bCs/>
                <w:color w:val="000000" w:themeColor="text1"/>
                <w:sz w:val="24"/>
                <w:szCs w:val="24"/>
              </w:rPr>
              <w:t>Dzērieni</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Ūdens, zāļu tējas, īpaši ingvera un kumelīšu tēja, atšķaidītas sulas, izņemot piparmētru tēju, citrusaugļu, tomātu sulas, cigoriņu kafiju.</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Alkohols, šokolādes dzērieni, kafija</w:t>
            </w:r>
            <w:r>
              <w:rPr>
                <w:color w:val="000000" w:themeColor="text1"/>
                <w:sz w:val="24"/>
                <w:szCs w:val="24"/>
              </w:rPr>
              <w:t>, melnā tēja, piparmētru tēja, gāzēti un saldināti dzērieni (īpaši kola), tomātu sula, apelsīnu sula.</w:t>
            </w:r>
          </w:p>
        </w:tc>
      </w:tr>
      <w:tr w:rsidTr="00254FB3">
        <w:tblPrEx>
          <w:tblW w:w="0" w:type="auto"/>
          <w:tblLook w:val="04A0"/>
        </w:tblPrEx>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spacing w:line="276" w:lineRule="auto"/>
              <w:rPr>
                <w:rFonts w:ascii="Times New Roman" w:hAnsi="Times New Roman"/>
                <w:sz w:val="24"/>
                <w:szCs w:val="24"/>
              </w:rPr>
            </w:pPr>
            <w:r>
              <w:rPr>
                <w:rFonts w:ascii="Times New Roman" w:hAnsi="Times New Roman"/>
                <w:b/>
                <w:bCs/>
                <w:color w:val="000000" w:themeColor="text1"/>
                <w:sz w:val="24"/>
                <w:szCs w:val="24"/>
              </w:rPr>
              <w:t>Garšvielas</w:t>
            </w:r>
          </w:p>
        </w:tc>
        <w:tc>
          <w:tcPr>
            <w:tcW w:w="2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NormalWeb"/>
              <w:spacing w:line="276" w:lineRule="auto"/>
              <w:rPr>
                <w:sz w:val="24"/>
                <w:szCs w:val="24"/>
              </w:rPr>
            </w:pPr>
            <w:r>
              <w:rPr>
                <w:color w:val="000000" w:themeColor="text1"/>
                <w:sz w:val="24"/>
                <w:szCs w:val="24"/>
              </w:rPr>
              <w:t>Ingvers, oregano, muskatrieksts, kanēlis, vaniļa.</w:t>
            </w:r>
          </w:p>
        </w:tc>
        <w:tc>
          <w:tcPr>
            <w:tcW w:w="3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726">
            <w:pPr>
              <w:pStyle w:val="ListParagraph"/>
              <w:spacing w:line="240" w:lineRule="auto"/>
              <w:ind w:left="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Piparmētras,       </w:t>
            </w:r>
            <w:r>
              <w:rPr>
                <w:rFonts w:ascii="Times New Roman" w:hAnsi="Times New Roman"/>
                <w:color w:val="000000" w:themeColor="text1"/>
                <w:sz w:val="24"/>
                <w:szCs w:val="24"/>
              </w:rPr>
              <w:t>čili</w:t>
            </w:r>
            <w:r>
              <w:rPr>
                <w:rFonts w:ascii="Times New Roman" w:hAnsi="Times New Roman"/>
                <w:color w:val="000000" w:themeColor="text1"/>
                <w:sz w:val="24"/>
                <w:szCs w:val="24"/>
              </w:rPr>
              <w:t xml:space="preserve"> pipari, etiķis, </w:t>
            </w:r>
            <w:r>
              <w:rPr>
                <w:rFonts w:ascii="Times New Roman" w:hAnsi="Times New Roman"/>
                <w:color w:val="000000" w:themeColor="text1"/>
                <w:sz w:val="24"/>
                <w:szCs w:val="24"/>
              </w:rPr>
              <w:t>karijs</w:t>
            </w:r>
            <w:r>
              <w:rPr>
                <w:rFonts w:ascii="Times New Roman" w:hAnsi="Times New Roman"/>
                <w:color w:val="000000" w:themeColor="text1"/>
                <w:sz w:val="24"/>
                <w:szCs w:val="24"/>
              </w:rPr>
              <w:t>, sinepes.</w:t>
            </w:r>
          </w:p>
          <w:p w:rsidR="00775726">
            <w:pPr>
              <w:pStyle w:val="NormalWeb"/>
              <w:spacing w:line="276" w:lineRule="auto"/>
              <w:rPr>
                <w:sz w:val="24"/>
                <w:szCs w:val="24"/>
              </w:rPr>
            </w:pPr>
          </w:p>
        </w:tc>
      </w:tr>
      <w:tr>
        <w:tblPrEx>
          <w:tblW w:w="0" w:type="auto"/>
          <w:tblLook w:val="04A0"/>
        </w:tblPrEx>
        <w:tc>
          <w:tcPr>
            <w:tcW w:w="8522" w:type="dxa"/>
            <w:gridSpan w:val="3"/>
            <w:tcBorders>
              <w:top w:val="single" w:sz="4" w:space="0" w:color="000000" w:themeColor="text1"/>
              <w:tl2br w:val="nil"/>
              <w:tr2bl w:val="nil"/>
            </w:tcBorders>
          </w:tcPr>
          <w:p w:rsidR="00775726">
            <w:pPr>
              <w:tabs>
                <w:tab w:val="center" w:pos="5688"/>
              </w:tabs>
              <w:rPr>
                <w:rFonts w:ascii="Times New Roman" w:hAnsi="Times New Roman"/>
                <w:color w:val="000000" w:themeColor="text1"/>
              </w:rPr>
            </w:pPr>
          </w:p>
          <w:p w:rsidR="00775726">
            <w:p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 xml:space="preserve">Vairāk informācijas par veselīgu uzturu meklējiet Veselības ministrijas mājaslapā: </w:t>
            </w:r>
            <w:hyperlink r:id="rId8" w:history="1">
              <w:r>
                <w:rPr>
                  <w:rStyle w:val="Hyperlink"/>
                  <w:rFonts w:ascii="Times New Roman" w:hAnsi="Times New Roman"/>
                  <w:color w:val="000000" w:themeColor="text1"/>
                  <w:sz w:val="24"/>
                  <w:szCs w:val="24"/>
                </w:rPr>
                <w:t>http://www.vm.gov.lv/lv/tava_veseliba/veseligs_uzturs/</w:t>
              </w:r>
            </w:hyperlink>
            <w:r>
              <w:rPr>
                <w:rStyle w:val="Hyperlink"/>
                <w:rFonts w:ascii="Times New Roman" w:hAnsi="Times New Roman"/>
                <w:color w:val="000000" w:themeColor="text1"/>
                <w:sz w:val="24"/>
                <w:szCs w:val="24"/>
                <w:u w:val="none"/>
              </w:rPr>
              <w:t xml:space="preserve"> un </w:t>
            </w:r>
            <w:r>
              <w:rPr>
                <w:rFonts w:ascii="Times New Roman" w:hAnsi="Times New Roman"/>
                <w:color w:val="000000" w:themeColor="text1"/>
                <w:sz w:val="24"/>
                <w:szCs w:val="24"/>
              </w:rPr>
              <w:t>Veselības ministrijas apstiprinātajos veselī</w:t>
            </w:r>
            <w:r>
              <w:rPr>
                <w:rFonts w:ascii="Times New Roman" w:hAnsi="Times New Roman"/>
                <w:color w:val="000000" w:themeColor="text1"/>
                <w:sz w:val="24"/>
                <w:szCs w:val="24"/>
              </w:rPr>
              <w:t xml:space="preserve">ga uztura ieteikumus pieaugušajiem </w:t>
            </w:r>
            <w:r>
              <w:rPr>
                <w:rFonts w:ascii="Times New Roman" w:hAnsi="Times New Roman"/>
                <w:i/>
                <w:iCs/>
                <w:color w:val="000000" w:themeColor="text1"/>
                <w:sz w:val="24"/>
                <w:szCs w:val="24"/>
              </w:rPr>
              <w:t>(</w:t>
            </w:r>
            <w:hyperlink r:id="rId9" w:history="1">
              <w:r>
                <w:rPr>
                  <w:rStyle w:val="Hyperlink"/>
                  <w:rFonts w:ascii="Times New Roman" w:hAnsi="Times New Roman"/>
                  <w:i/>
                  <w:iCs/>
                  <w:sz w:val="24"/>
                  <w:szCs w:val="24"/>
                </w:rPr>
                <w:t>http://www.vm.gov.lv/images/userfiles/VM_Uztura_ieteik_pieaug.pdf</w:t>
              </w:r>
            </w:hyperlink>
            <w:r>
              <w:rPr>
                <w:rFonts w:ascii="Times New Roman" w:hAnsi="Times New Roman"/>
                <w:color w:val="000000" w:themeColor="text1"/>
                <w:sz w:val="24"/>
                <w:szCs w:val="24"/>
              </w:rPr>
              <w:t>).</w:t>
            </w:r>
          </w:p>
          <w:p w:rsidR="00775726">
            <w:pPr>
              <w:spacing w:line="276" w:lineRule="auto"/>
              <w:rPr>
                <w:rFonts w:ascii="Times New Roman" w:hAnsi="Times New Roman"/>
                <w:sz w:val="24"/>
                <w:szCs w:val="24"/>
              </w:rPr>
            </w:pPr>
            <w:r>
              <w:rPr>
                <w:rFonts w:ascii="Times New Roman" w:hAnsi="Times New Roman"/>
                <w:b/>
                <w:bCs/>
                <w:color w:val="000000" w:themeColor="text1"/>
                <w:sz w:val="24"/>
                <w:szCs w:val="24"/>
              </w:rPr>
              <w:t xml:space="preserve">Pacientiem ar </w:t>
            </w:r>
            <w:r>
              <w:rPr>
                <w:rFonts w:ascii="Times New Roman" w:hAnsi="Times New Roman"/>
                <w:b/>
                <w:bCs/>
                <w:color w:val="000000" w:themeColor="text1"/>
                <w:sz w:val="24"/>
                <w:szCs w:val="24"/>
              </w:rPr>
              <w:t>gastroezofageālā</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refluksa</w:t>
            </w:r>
            <w:r>
              <w:rPr>
                <w:rFonts w:ascii="Times New Roman" w:hAnsi="Times New Roman"/>
                <w:b/>
                <w:bCs/>
                <w:color w:val="000000" w:themeColor="text1"/>
                <w:sz w:val="24"/>
                <w:szCs w:val="24"/>
              </w:rPr>
              <w:t xml:space="preserve"> slimību</w:t>
            </w:r>
            <w:r>
              <w:rPr>
                <w:rFonts w:ascii="Times New Roman" w:hAnsi="Times New Roman"/>
                <w:color w:val="000000" w:themeColor="text1"/>
                <w:sz w:val="24"/>
                <w:szCs w:val="24"/>
              </w:rPr>
              <w:t xml:space="preserve"> ilgtermiņā jāizvairās izslēgt nepamatoti daudz produktu vai produktu grupu no ēdienkartes, jo tas varētu radīt uzturvielu deficītu. Jāņem vērā, ka katram ir individuāla reakcija uz produktiem un ēdienkarte jāpiemēro individuāli.</w:t>
            </w:r>
          </w:p>
        </w:tc>
      </w:tr>
      <w:tr>
        <w:tblPrEx>
          <w:tblW w:w="0" w:type="auto"/>
          <w:tblLook w:val="04A0"/>
        </w:tblPrEx>
        <w:tc>
          <w:tcPr>
            <w:tcW w:w="8522" w:type="dxa"/>
            <w:gridSpan w:val="3"/>
            <w:tcBorders>
              <w:top w:val="nil"/>
              <w:tl2br w:val="nil"/>
              <w:tr2bl w:val="nil"/>
            </w:tcBorders>
          </w:tcPr>
          <w:p w:rsidR="00775726">
            <w:pPr>
              <w:spacing w:line="276" w:lineRule="auto"/>
              <w:rPr>
                <w:rFonts w:ascii="Times New Roman" w:hAnsi="Times New Roman"/>
                <w:b/>
                <w:bCs/>
                <w:color w:val="000000" w:themeColor="text1"/>
                <w:sz w:val="24"/>
                <w:szCs w:val="24"/>
              </w:rPr>
            </w:pPr>
          </w:p>
        </w:tc>
      </w:tr>
      <w:tr>
        <w:tblPrEx>
          <w:tblW w:w="0" w:type="auto"/>
          <w:tblLook w:val="04A0"/>
        </w:tblPrEx>
        <w:tc>
          <w:tcPr>
            <w:tcW w:w="8522" w:type="dxa"/>
            <w:gridSpan w:val="3"/>
            <w:tcBorders>
              <w:tl2br w:val="nil"/>
              <w:tr2bl w:val="nil"/>
            </w:tcBorders>
          </w:tcPr>
          <w:p w:rsidR="00775726">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w:t>
            </w:r>
            <w:r>
              <w:rPr>
                <w:rFonts w:ascii="Times New Roman" w:hAnsi="Times New Roman"/>
                <w:bCs/>
                <w:sz w:val="24"/>
                <w:szCs w:val="24"/>
              </w:rPr>
              <w:t xml:space="preserve">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w:t>
            </w:r>
            <w:r>
              <w:rPr>
                <w:rFonts w:ascii="Times New Roman" w:hAnsi="Times New Roman"/>
                <w:bCs/>
                <w:sz w:val="24"/>
                <w:szCs w:val="24"/>
              </w:rPr>
              <w:t xml:space="preserve">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w:t>
            </w:r>
            <w:r>
              <w:rPr>
                <w:rFonts w:ascii="Times New Roman" w:hAnsi="Times New Roman"/>
                <w:bCs/>
                <w:sz w:val="24"/>
                <w:szCs w:val="24"/>
              </w:rPr>
              <w:t xml:space="preserve">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775726">
            <w:pPr>
              <w:pStyle w:val="Parasts"/>
              <w:pBdr>
                <w:top w:val="nil"/>
              </w:pBdr>
              <w:spacing w:line="216" w:lineRule="auto"/>
              <w:rPr>
                <w:rFonts w:ascii="Times New Roman" w:hAnsi="Times New Roman"/>
                <w:bCs/>
                <w:i/>
                <w:sz w:val="24"/>
                <w:szCs w:val="24"/>
                <w:lang w:val="en-US"/>
              </w:rPr>
            </w:pPr>
            <w:r>
              <w:rPr>
                <w:rFonts w:ascii="Times New Roman" w:hAnsi="Times New Roman"/>
                <w:bCs/>
                <w:i/>
                <w:sz w:val="24"/>
                <w:szCs w:val="24"/>
                <w:lang w:val="lv-LV"/>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w:t>
            </w:r>
            <w:r>
              <w:rPr>
                <w:rFonts w:ascii="Times New Roman" w:hAnsi="Times New Roman"/>
                <w:bCs/>
                <w:i/>
                <w:sz w:val="24"/>
                <w:szCs w:val="24"/>
                <w:lang w:val="en-US"/>
              </w:rPr>
              <w:t>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p>
          <w:p w:rsidR="00775726">
            <w:pPr>
              <w:pStyle w:val="Parasts"/>
              <w:pBdr>
                <w:top w:val="nil"/>
              </w:pBdr>
              <w:spacing w:line="216" w:lineRule="auto"/>
              <w:rPr>
                <w:rFonts w:ascii="Times New Roman" w:hAnsi="Times New Roman"/>
                <w:bCs/>
                <w:i/>
                <w:sz w:val="24"/>
                <w:szCs w:val="24"/>
                <w:lang w:val="en-US"/>
              </w:rPr>
            </w:pPr>
          </w:p>
        </w:tc>
      </w:tr>
      <w:tr>
        <w:tblPrEx>
          <w:tblW w:w="0" w:type="auto"/>
          <w:tblLook w:val="04A0"/>
        </w:tblPrEx>
        <w:tc>
          <w:tcPr>
            <w:tcW w:w="8522" w:type="dxa"/>
            <w:gridSpan w:val="3"/>
            <w:tcBorders>
              <w:tl2br w:val="nil"/>
              <w:tr2bl w:val="nil"/>
            </w:tcBorders>
          </w:tcPr>
          <w:p w:rsidR="00775726">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0" w:type="auto"/>
          <w:tblLook w:val="04A0"/>
        </w:tblPrEx>
        <w:tc>
          <w:tcPr>
            <w:tcW w:w="8522" w:type="dxa"/>
            <w:gridSpan w:val="3"/>
            <w:tcBorders>
              <w:tl2br w:val="nil"/>
              <w:tr2bl w:val="nil"/>
            </w:tcBorders>
          </w:tcPr>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Eating</w:t>
            </w:r>
            <w:r>
              <w:rPr>
                <w:rFonts w:ascii="Times New Roman" w:hAnsi="Times New Roman"/>
                <w:color w:val="000000" w:themeColor="text1"/>
                <w:sz w:val="24"/>
                <w:szCs w:val="24"/>
              </w:rPr>
              <w:t>, Diet, &amp;</w:t>
            </w:r>
            <w:r>
              <w:rPr>
                <w:rFonts w:ascii="Times New Roman" w:hAnsi="Times New Roman"/>
                <w:color w:val="000000" w:themeColor="text1"/>
                <w:sz w:val="24"/>
                <w:szCs w:val="24"/>
              </w:rPr>
              <w:t>amp</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Nutrition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for</w:t>
            </w:r>
            <w:r>
              <w:rPr>
                <w:rFonts w:ascii="Times New Roman" w:hAnsi="Times New Roman"/>
                <w:color w:val="000000" w:themeColor="text1"/>
                <w:sz w:val="24"/>
                <w:szCs w:val="24"/>
              </w:rPr>
              <w:t xml:space="preserve"> GER &amp;</w:t>
            </w:r>
            <w:r>
              <w:rPr>
                <w:rFonts w:ascii="Times New Roman" w:hAnsi="Times New Roman"/>
                <w:color w:val="000000" w:themeColor="text1"/>
                <w:sz w:val="24"/>
                <w:szCs w:val="24"/>
              </w:rPr>
              <w:t>amp</w:t>
            </w:r>
            <w:r>
              <w:rPr>
                <w:rFonts w:ascii="Times New Roman" w:hAnsi="Times New Roman"/>
                <w:color w:val="000000" w:themeColor="text1"/>
                <w:sz w:val="24"/>
                <w:szCs w:val="24"/>
              </w:rPr>
              <w:t xml:space="preserve">; GERD | NIDDK. NIH- National </w:t>
            </w:r>
            <w:r>
              <w:rPr>
                <w:rFonts w:ascii="Times New Roman" w:hAnsi="Times New Roman"/>
                <w:color w:val="000000" w:themeColor="text1"/>
                <w:sz w:val="24"/>
                <w:szCs w:val="24"/>
              </w:rPr>
              <w:t>Institute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of</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Diabetes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Digestive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Kidney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Disease</w:t>
            </w:r>
            <w:r>
              <w:rPr>
                <w:rFonts w:ascii="Times New Roman" w:hAnsi="Times New Roman"/>
                <w:color w:val="000000" w:themeColor="text1"/>
                <w:sz w:val="24"/>
                <w:szCs w:val="24"/>
              </w:rPr>
              <w:t xml:space="preserve">. 2014. https://www.niddk.nih.gov/health-information/digestive-diseases/acid-reflux-ger-gerd-adults/eating-diet-nutrition.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Johnso</w:t>
            </w:r>
            <w:r>
              <w:rPr>
                <w:rFonts w:ascii="Times New Roman" w:hAnsi="Times New Roman"/>
                <w:color w:val="000000" w:themeColor="text1"/>
                <w:sz w:val="24"/>
                <w:szCs w:val="24"/>
              </w:rPr>
              <w:t xml:space="preserve">n A. </w:t>
            </w:r>
            <w:r>
              <w:rPr>
                <w:rFonts w:ascii="Times New Roman" w:hAnsi="Times New Roman"/>
                <w:color w:val="000000" w:themeColor="text1"/>
                <w:sz w:val="24"/>
                <w:szCs w:val="24"/>
              </w:rPr>
              <w:t>Gastroesophageal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Eat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Right</w:t>
            </w:r>
            <w:r>
              <w:rPr>
                <w:rFonts w:ascii="Times New Roman" w:hAnsi="Times New Roman"/>
                <w:color w:val="000000" w:themeColor="text1"/>
                <w:sz w:val="24"/>
                <w:szCs w:val="24"/>
              </w:rPr>
              <w:t xml:space="preserve">. 2018. https://www.eatright.org/health/wellness/digestive-health/gastroesophageal-reflux.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Lifestyle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Changes</w:t>
            </w:r>
            <w:r>
              <w:rPr>
                <w:rFonts w:ascii="Times New Roman" w:hAnsi="Times New Roman"/>
                <w:color w:val="000000" w:themeColor="text1"/>
                <w:sz w:val="24"/>
                <w:szCs w:val="24"/>
              </w:rPr>
              <w:t xml:space="preserve"> to </w:t>
            </w:r>
            <w:r>
              <w:rPr>
                <w:rFonts w:ascii="Times New Roman" w:hAnsi="Times New Roman"/>
                <w:color w:val="000000" w:themeColor="text1"/>
                <w:sz w:val="24"/>
                <w:szCs w:val="24"/>
              </w:rPr>
              <w:t>Treat</w:t>
            </w:r>
            <w:r>
              <w:rPr>
                <w:rFonts w:ascii="Times New Roman" w:hAnsi="Times New Roman"/>
                <w:color w:val="000000" w:themeColor="text1"/>
                <w:sz w:val="24"/>
                <w:szCs w:val="24"/>
              </w:rPr>
              <w:t xml:space="preserve"> GERD | </w:t>
            </w:r>
            <w:r>
              <w:rPr>
                <w:rFonts w:ascii="Times New Roman" w:hAnsi="Times New Roman"/>
                <w:color w:val="000000" w:themeColor="text1"/>
                <w:sz w:val="24"/>
                <w:szCs w:val="24"/>
              </w:rPr>
              <w:t>Cleveland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Clinic</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Clevelend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Clinic</w:t>
            </w:r>
            <w:r>
              <w:rPr>
                <w:rFonts w:ascii="Times New Roman" w:hAnsi="Times New Roman"/>
                <w:color w:val="000000" w:themeColor="text1"/>
                <w:sz w:val="24"/>
                <w:szCs w:val="24"/>
              </w:rPr>
              <w:t>. https://my.clevelandclinic.org/health/articles/15530-li</w:t>
            </w:r>
            <w:r>
              <w:rPr>
                <w:rFonts w:ascii="Times New Roman" w:hAnsi="Times New Roman"/>
                <w:color w:val="000000" w:themeColor="text1"/>
                <w:sz w:val="24"/>
                <w:szCs w:val="24"/>
              </w:rPr>
              <w:t xml:space="preserve">festyle-guidelines-for-the-treatment-of-gerd. 2018.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 xml:space="preserve">Diet </w:t>
            </w:r>
            <w:r>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Lifestyle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Changes</w:t>
            </w:r>
            <w:r>
              <w:rPr>
                <w:rFonts w:ascii="Times New Roman" w:hAnsi="Times New Roman"/>
                <w:color w:val="000000" w:themeColor="text1"/>
                <w:sz w:val="24"/>
                <w:szCs w:val="24"/>
              </w:rPr>
              <w:t xml:space="preserve">. IFFGD- </w:t>
            </w:r>
            <w:r>
              <w:rPr>
                <w:rFonts w:ascii="Times New Roman" w:hAnsi="Times New Roman"/>
                <w:color w:val="000000" w:themeColor="text1"/>
                <w:sz w:val="24"/>
                <w:szCs w:val="24"/>
              </w:rPr>
              <w:t>International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Foundation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Gastrointestinal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Disorders</w:t>
            </w:r>
            <w:r>
              <w:rPr>
                <w:rFonts w:ascii="Times New Roman" w:hAnsi="Times New Roman"/>
                <w:color w:val="000000" w:themeColor="text1"/>
                <w:sz w:val="24"/>
                <w:szCs w:val="24"/>
              </w:rPr>
              <w:t xml:space="preserve">. https://aboutgerd.org/diet-lifestyle-changes.html. 2019.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Jilian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Levy</w:t>
            </w:r>
            <w:r>
              <w:rPr>
                <w:rFonts w:ascii="Times New Roman" w:hAnsi="Times New Roman"/>
                <w:color w:val="000000" w:themeColor="text1"/>
                <w:sz w:val="24"/>
                <w:szCs w:val="24"/>
              </w:rPr>
              <w:t xml:space="preserve">. GERD diet </w:t>
            </w:r>
            <w:r>
              <w:rPr>
                <w:rFonts w:ascii="Times New Roman" w:hAnsi="Times New Roman"/>
                <w:color w:val="000000" w:themeColor="text1"/>
                <w:sz w:val="24"/>
                <w:szCs w:val="24"/>
              </w:rPr>
              <w:t>plan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Dr.Axe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food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medicine</w:t>
            </w:r>
            <w:r>
              <w:rPr>
                <w:rFonts w:ascii="Times New Roman" w:hAnsi="Times New Roman"/>
                <w:color w:val="000000" w:themeColor="text1"/>
                <w:sz w:val="24"/>
                <w:szCs w:val="24"/>
              </w:rPr>
              <w:t xml:space="preserve">. https://draxe.com/gerd-diet/2017.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John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Simic</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Acid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Symptoms</w:t>
            </w:r>
            <w:r>
              <w:rPr>
                <w:rFonts w:ascii="Times New Roman" w:hAnsi="Times New Roman"/>
                <w:color w:val="000000" w:themeColor="text1"/>
                <w:sz w:val="24"/>
                <w:szCs w:val="24"/>
              </w:rPr>
              <w:t xml:space="preserve">, Diet, Foods to </w:t>
            </w:r>
            <w:r>
              <w:rPr>
                <w:rFonts w:ascii="Times New Roman" w:hAnsi="Times New Roman"/>
                <w:color w:val="000000" w:themeColor="text1"/>
                <w:sz w:val="24"/>
                <w:szCs w:val="24"/>
              </w:rPr>
              <w:t>Avoid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Remedies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EMedicine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health</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https://www.emedicinehealth.com/acid_reflux_disease_gerd/article_em.htm#is_there_a_diet_for_acid_reflux. 2019.</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Kubo</w:t>
            </w:r>
            <w:r>
              <w:rPr>
                <w:rFonts w:ascii="Times New Roman" w:hAnsi="Times New Roman"/>
                <w:color w:val="000000" w:themeColor="text1"/>
                <w:sz w:val="24"/>
                <w:szCs w:val="24"/>
              </w:rPr>
              <w:t xml:space="preserve">, A., </w:t>
            </w:r>
            <w:r>
              <w:rPr>
                <w:rFonts w:ascii="Times New Roman" w:hAnsi="Times New Roman"/>
                <w:color w:val="000000" w:themeColor="text1"/>
                <w:sz w:val="24"/>
                <w:szCs w:val="24"/>
              </w:rPr>
              <w:t>Block</w:t>
            </w:r>
            <w:r>
              <w:rPr>
                <w:rFonts w:ascii="Times New Roman" w:hAnsi="Times New Roman"/>
                <w:color w:val="000000" w:themeColor="text1"/>
                <w:sz w:val="24"/>
                <w:szCs w:val="24"/>
              </w:rPr>
              <w:t xml:space="preserve">, G., </w:t>
            </w:r>
            <w:r>
              <w:rPr>
                <w:rFonts w:ascii="Times New Roman" w:hAnsi="Times New Roman"/>
                <w:color w:val="000000" w:themeColor="text1"/>
                <w:sz w:val="24"/>
                <w:szCs w:val="24"/>
              </w:rPr>
              <w:t>Quesenberry</w:t>
            </w:r>
            <w:r>
              <w:rPr>
                <w:rFonts w:ascii="Times New Roman" w:hAnsi="Times New Roman"/>
                <w:color w:val="000000" w:themeColor="text1"/>
                <w:sz w:val="24"/>
                <w:szCs w:val="24"/>
              </w:rPr>
              <w:t xml:space="preserve">, C. P., </w:t>
            </w:r>
            <w:r>
              <w:rPr>
                <w:rFonts w:ascii="Times New Roman" w:hAnsi="Times New Roman"/>
                <w:color w:val="000000" w:themeColor="text1"/>
                <w:sz w:val="24"/>
                <w:szCs w:val="24"/>
              </w:rPr>
              <w:t>Buffler</w:t>
            </w:r>
            <w:r>
              <w:rPr>
                <w:rFonts w:ascii="Times New Roman" w:hAnsi="Times New Roman"/>
                <w:color w:val="000000" w:themeColor="text1"/>
                <w:sz w:val="24"/>
                <w:szCs w:val="24"/>
              </w:rPr>
              <w:t xml:space="preserve">, P., &amp; </w:t>
            </w:r>
            <w:r>
              <w:rPr>
                <w:rFonts w:ascii="Times New Roman" w:hAnsi="Times New Roman"/>
                <w:color w:val="000000" w:themeColor="text1"/>
                <w:sz w:val="24"/>
                <w:szCs w:val="24"/>
              </w:rPr>
              <w:t>Corley</w:t>
            </w:r>
            <w:r>
              <w:rPr>
                <w:rFonts w:ascii="Times New Roman" w:hAnsi="Times New Roman"/>
                <w:color w:val="000000" w:themeColor="text1"/>
                <w:sz w:val="24"/>
                <w:szCs w:val="24"/>
              </w:rPr>
              <w:t xml:space="preserve">, D. A. (2014). </w:t>
            </w:r>
            <w:r>
              <w:rPr>
                <w:rFonts w:ascii="Times New Roman" w:hAnsi="Times New Roman"/>
                <w:color w:val="000000" w:themeColor="text1"/>
                <w:sz w:val="24"/>
                <w:szCs w:val="24"/>
              </w:rPr>
              <w:t>Dietary</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guideline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adherence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for</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gastroesophageal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disease</w:t>
            </w:r>
            <w:r>
              <w:rPr>
                <w:rFonts w:ascii="Times New Roman" w:hAnsi="Times New Roman"/>
                <w:color w:val="000000" w:themeColor="text1"/>
                <w:sz w:val="24"/>
                <w:szCs w:val="24"/>
              </w:rPr>
              <w:t>. BM</w:t>
            </w:r>
            <w:r>
              <w:rPr>
                <w:rFonts w:ascii="Times New Roman" w:hAnsi="Times New Roman"/>
                <w:color w:val="000000" w:themeColor="text1"/>
                <w:sz w:val="24"/>
                <w:szCs w:val="24"/>
              </w:rPr>
              <w:t xml:space="preserve">C </w:t>
            </w:r>
            <w:r>
              <w:rPr>
                <w:rFonts w:ascii="Times New Roman" w:hAnsi="Times New Roman"/>
                <w:color w:val="000000" w:themeColor="text1"/>
                <w:sz w:val="24"/>
                <w:szCs w:val="24"/>
              </w:rPr>
              <w:t>gastroenterology</w:t>
            </w:r>
            <w:r>
              <w:rPr>
                <w:rFonts w:ascii="Times New Roman" w:hAnsi="Times New Roman"/>
                <w:color w:val="000000" w:themeColor="text1"/>
                <w:sz w:val="24"/>
                <w:szCs w:val="24"/>
              </w:rPr>
              <w:t xml:space="preserve">, 14(1), 144. </w:t>
            </w:r>
          </w:p>
          <w:p w:rsidR="00775726">
            <w:pPr>
              <w:pStyle w:val="ListParagraph"/>
              <w:numPr>
                <w:ilvl w:val="0"/>
                <w:numId w:val="4"/>
              </w:numPr>
              <w:tabs>
                <w:tab w:val="center" w:pos="5688"/>
              </w:tabs>
              <w:rPr>
                <w:rFonts w:ascii="Times New Roman" w:hAnsi="Times New Roman"/>
                <w:color w:val="000000" w:themeColor="text1"/>
                <w:sz w:val="24"/>
                <w:szCs w:val="24"/>
              </w:rPr>
            </w:pPr>
            <w:r>
              <w:rPr>
                <w:rFonts w:ascii="Times New Roman" w:hAnsi="Times New Roman"/>
                <w:color w:val="000000" w:themeColor="text1"/>
                <w:sz w:val="24"/>
                <w:szCs w:val="24"/>
              </w:rPr>
              <w:t>UpToDate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Kahrilas</w:t>
            </w:r>
            <w:r>
              <w:rPr>
                <w:rFonts w:ascii="Times New Roman" w:hAnsi="Times New Roman"/>
                <w:color w:val="000000" w:themeColor="text1"/>
                <w:sz w:val="24"/>
                <w:szCs w:val="24"/>
              </w:rPr>
              <w:t xml:space="preserve"> PJ, </w:t>
            </w:r>
            <w:r>
              <w:rPr>
                <w:rFonts w:ascii="Times New Roman" w:hAnsi="Times New Roman"/>
                <w:color w:val="000000" w:themeColor="text1"/>
                <w:sz w:val="24"/>
                <w:szCs w:val="24"/>
              </w:rPr>
              <w:t>MDPatient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education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Gastroesophageal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disease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adults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Beyond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the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Basics</w:t>
            </w:r>
            <w:r>
              <w:rPr>
                <w:rFonts w:ascii="Times New Roman" w:hAnsi="Times New Roman"/>
                <w:color w:val="000000" w:themeColor="text1"/>
                <w:sz w:val="24"/>
                <w:szCs w:val="24"/>
              </w:rPr>
              <w:t xml:space="preserve">), Aktualizēts 2020. </w:t>
            </w:r>
            <w:hyperlink r:id="rId10" w:history="1">
              <w:r>
                <w:rPr>
                  <w:rStyle w:val="Hyperlink"/>
                  <w:rFonts w:ascii="Times New Roman" w:hAnsi="Times New Roman"/>
                  <w:color w:val="000000" w:themeColor="text1"/>
                  <w:sz w:val="24"/>
                  <w:szCs w:val="24"/>
                </w:rPr>
                <w:t>https://www.uptodate.com/contents/gastroesophageal-reflux-disease-in-adults-beyond-the-basics?search=GERD&amp;topicRef=2239&amp;source=see_link</w:t>
              </w:r>
            </w:hyperlink>
          </w:p>
          <w:p w:rsidR="00775726">
            <w:pPr>
              <w:pStyle w:val="ListParagraph"/>
              <w:numPr>
                <w:ilvl w:val="0"/>
                <w:numId w:val="4"/>
              </w:numPr>
              <w:rPr>
                <w:rFonts w:ascii="Times New Roman" w:hAnsi="Times New Roman"/>
                <w:color w:val="000000" w:themeColor="text1"/>
                <w:sz w:val="24"/>
                <w:szCs w:val="24"/>
              </w:rPr>
            </w:pPr>
            <w:r>
              <w:rPr>
                <w:rFonts w:ascii="Times New Roman" w:hAnsi="Times New Roman"/>
                <w:color w:val="000000" w:themeColor="text1"/>
                <w:sz w:val="24"/>
                <w:szCs w:val="24"/>
              </w:rPr>
              <w:t>WebMD</w:t>
            </w:r>
            <w:r>
              <w:rPr>
                <w:rFonts w:ascii="Times New Roman" w:hAnsi="Times New Roman"/>
                <w:color w:val="000000" w:themeColor="text1"/>
                <w:sz w:val="24"/>
                <w:szCs w:val="24"/>
              </w:rPr>
              <w:t xml:space="preserve">. </w:t>
            </w:r>
            <w:hyperlink r:id="rId11" w:history="1">
              <w:r>
                <w:rPr>
                  <w:rStyle w:val="Hyperlink"/>
                  <w:rFonts w:ascii="Times New Roman" w:hAnsi="Times New Roman"/>
                  <w:color w:val="000000" w:themeColor="text1"/>
                  <w:sz w:val="24"/>
                  <w:szCs w:val="24"/>
                </w:rPr>
                <w:t>https://www.webmd.com/heartburn-gerd/</w:t>
              </w:r>
            </w:hyperlink>
            <w:r>
              <w:rPr>
                <w:rFonts w:ascii="Times New Roman" w:hAnsi="Times New Roman"/>
                <w:color w:val="000000" w:themeColor="text1"/>
                <w:sz w:val="24"/>
                <w:szCs w:val="24"/>
              </w:rPr>
              <w:t xml:space="preserve"> Aktualizēts 2020</w:t>
            </w:r>
          </w:p>
          <w:p w:rsidR="00775726">
            <w:pPr>
              <w:pStyle w:val="ListParagraph"/>
              <w:numPr>
                <w:ilvl w:val="0"/>
                <w:numId w:val="4"/>
              </w:numPr>
              <w:rPr>
                <w:rFonts w:ascii="Times New Roman" w:hAnsi="Times New Roman"/>
                <w:color w:val="000000" w:themeColor="text1"/>
                <w:sz w:val="24"/>
                <w:szCs w:val="24"/>
              </w:rPr>
            </w:pPr>
            <w:r>
              <w:rPr>
                <w:rFonts w:ascii="Times New Roman" w:hAnsi="Times New Roman"/>
                <w:color w:val="000000" w:themeColor="text1"/>
                <w:sz w:val="24"/>
                <w:szCs w:val="24"/>
              </w:rPr>
              <w:t>Mayo</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Clinic</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Gastroesophageal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disease</w:t>
            </w:r>
            <w:r>
              <w:rPr>
                <w:rFonts w:ascii="Times New Roman" w:hAnsi="Times New Roman"/>
                <w:color w:val="000000" w:themeColor="text1"/>
                <w:sz w:val="24"/>
                <w:szCs w:val="24"/>
              </w:rPr>
              <w:t xml:space="preserve"> (GERD). </w:t>
            </w:r>
            <w:hyperlink r:id="rId12" w:history="1">
              <w:r>
                <w:rPr>
                  <w:rStyle w:val="Hyperlink"/>
                  <w:rFonts w:ascii="Times New Roman" w:hAnsi="Times New Roman"/>
                  <w:sz w:val="24"/>
                  <w:szCs w:val="24"/>
                </w:rPr>
                <w:t>https://www.mayoclinic.org/diseases-conditions/gerd/diagnosis-treatment/drc-20361959</w:t>
              </w:r>
            </w:hyperlink>
            <w:r>
              <w:rPr>
                <w:rFonts w:ascii="Times New Roman" w:hAnsi="Times New Roman"/>
                <w:color w:val="000000" w:themeColor="text1"/>
                <w:sz w:val="24"/>
                <w:szCs w:val="24"/>
              </w:rPr>
              <w:t>. Aktualizēts 2020.</w:t>
            </w:r>
          </w:p>
          <w:p w:rsidR="00775726">
            <w:pPr>
              <w:pStyle w:val="ListParagraph"/>
              <w:numPr>
                <w:ilvl w:val="0"/>
                <w:numId w:val="4"/>
              </w:numPr>
              <w:tabs>
                <w:tab w:val="center" w:pos="5688"/>
              </w:tabs>
              <w:rPr>
                <w:rFonts w:ascii="Times New Roman" w:hAnsi="Times New Roman"/>
              </w:rPr>
            </w:pPr>
            <w:r>
              <w:rPr>
                <w:rFonts w:ascii="Times New Roman" w:hAnsi="Times New Roman"/>
                <w:color w:val="000000" w:themeColor="text1"/>
                <w:sz w:val="24"/>
                <w:szCs w:val="24"/>
              </w:rPr>
              <w:t xml:space="preserve">Attēla izmantošana saskaņota ar www.uptodate.com vietnes uzturētāju un attēla autoru </w:t>
            </w:r>
            <w:r>
              <w:rPr>
                <w:rFonts w:ascii="Times New Roman" w:hAnsi="Times New Roman"/>
                <w:color w:val="000000" w:themeColor="text1"/>
                <w:sz w:val="24"/>
                <w:szCs w:val="24"/>
              </w:rPr>
              <w:t>Vege</w:t>
            </w:r>
            <w:r>
              <w:rPr>
                <w:rFonts w:ascii="Times New Roman" w:hAnsi="Times New Roman"/>
                <w:color w:val="000000" w:themeColor="text1"/>
                <w:sz w:val="24"/>
                <w:szCs w:val="24"/>
              </w:rPr>
              <w:t xml:space="preserve"> SS. Attēla pirmavots: </w:t>
            </w:r>
            <w:r>
              <w:rPr>
                <w:rFonts w:ascii="Times New Roman" w:hAnsi="Times New Roman"/>
                <w:color w:val="000000" w:themeColor="text1"/>
                <w:sz w:val="24"/>
                <w:szCs w:val="24"/>
              </w:rPr>
              <w:t>Vege</w:t>
            </w:r>
            <w:r>
              <w:rPr>
                <w:rFonts w:ascii="Times New Roman" w:hAnsi="Times New Roman"/>
                <w:color w:val="000000" w:themeColor="text1"/>
                <w:sz w:val="24"/>
                <w:szCs w:val="24"/>
              </w:rPr>
              <w:t xml:space="preserve"> SS. </w:t>
            </w:r>
            <w:r>
              <w:rPr>
                <w:rFonts w:ascii="Times New Roman" w:hAnsi="Times New Roman"/>
                <w:color w:val="000000" w:themeColor="text1"/>
                <w:sz w:val="24"/>
                <w:szCs w:val="24"/>
              </w:rPr>
              <w:t>Patient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education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Gastr</w:t>
            </w:r>
            <w:r>
              <w:rPr>
                <w:rFonts w:ascii="Times New Roman" w:hAnsi="Times New Roman"/>
                <w:color w:val="000000" w:themeColor="text1"/>
                <w:sz w:val="24"/>
                <w:szCs w:val="24"/>
              </w:rPr>
              <w:t>oesophageal</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reflux</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disease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adults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Beyond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the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Basics</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Copyright</w:t>
            </w:r>
            <w:r>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2020 </w:t>
            </w:r>
            <w:r>
              <w:rPr>
                <w:rFonts w:ascii="Times New Roman" w:hAnsi="Times New Roman"/>
                <w:color w:val="000000" w:themeColor="text1"/>
                <w:sz w:val="24"/>
                <w:szCs w:val="24"/>
              </w:rPr>
              <w:t>UpToDate</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Inc</w:t>
            </w:r>
            <w:r>
              <w:rPr>
                <w:rFonts w:ascii="Times New Roman" w:hAnsi="Times New Roman"/>
                <w:color w:val="000000" w:themeColor="text1"/>
                <w:sz w:val="24"/>
                <w:szCs w:val="24"/>
              </w:rPr>
              <w:t>.  Attēla autors neuzņemas atbildību par attēla tulkojumu. Attēls oriģinālvalodā skatāms: www.uptodate.com.</w:t>
            </w:r>
          </w:p>
        </w:tc>
      </w:tr>
      <w:tr w:rsidTr="00254FB3">
        <w:tblPrEx>
          <w:tblW w:w="0" w:type="auto"/>
          <w:tblLook w:val="04A0"/>
        </w:tblPrEx>
        <w:tc>
          <w:tcPr>
            <w:tcW w:w="2559" w:type="dxa"/>
            <w:tcBorders>
              <w:tl2br w:val="nil"/>
              <w:tr2bl w:val="nil"/>
            </w:tcBorders>
          </w:tcPr>
          <w:p w:rsidR="00775726">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2820" w:type="dxa"/>
            <w:tcBorders>
              <w:tl2br w:val="nil"/>
              <w:tr2bl w:val="nil"/>
            </w:tcBorders>
          </w:tcPr>
          <w:p w:rsidR="00775726">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143" w:type="dxa"/>
            <w:tcBorders>
              <w:tl2br w:val="nil"/>
              <w:tr2bl w:val="nil"/>
            </w:tcBorders>
          </w:tcPr>
          <w:p w:rsidR="00775726">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r>
    </w:tbl>
    <w:p w:rsidR="00775726"/>
    <w:sectPr>
      <w:headerReference w:type="default" r:id="rId13"/>
      <w:footerReference w:type="default" r:id="rId1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4280225"/>
      <w:richText/>
    </w:sdtPr>
    <w:sdtEndPr>
      <w:rPr>
        <w:rFonts w:ascii="Times New Roman" w:hAnsi="Times New Roman"/>
        <w:sz w:val="24"/>
        <w:szCs w:val="24"/>
      </w:rPr>
    </w:sdtEndPr>
    <w:sdtContent>
      <w:p w:rsidR="00775726">
        <w:pPr>
          <w:pStyle w:val="Footer"/>
          <w:jc w:val="right"/>
        </w:pPr>
      </w:p>
      <w:p w:rsidR="00775726">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sdtContent>
  </w:sdt>
  <w:p w:rsidR="0077572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4FB3" w:rsidRPr="00254FB3" w:rsidP="00254FB3">
    <w:pPr>
      <w:pStyle w:val="Header"/>
      <w:jc w:val="right"/>
      <w:rPr>
        <w:b/>
        <w:bCs/>
      </w:rPr>
    </w:pPr>
    <w:r w:rsidRPr="00254FB3">
      <w:rPr>
        <w:b/>
        <w:bCs/>
      </w:rPr>
      <w:t>Pielikums Nr.</w:t>
    </w:r>
    <w:r>
      <w:rPr>
        <w:b/>
        <w:bCs/>
      </w:rPr>
      <w:t>2</w:t>
    </w:r>
    <w:r w:rsidRPr="00254FB3">
      <w:rPr>
        <w:b/>
        <w:bCs/>
      </w:rPr>
      <w:t xml:space="preserve"> Veselības ministrijas </w:t>
    </w:r>
    <w:r w:rsidRPr="00254FB3">
      <w:rPr>
        <w:b/>
        <w:bCs/>
        <w:noProof/>
      </w:rPr>
      <w:t>Datums skatāms laika zīmogā</w:t>
    </w:r>
    <w:r w:rsidRPr="00254FB3">
      <w:rPr>
        <w:b/>
        <w:bCs/>
      </w:rPr>
      <w:t xml:space="preserve"> rīkojumam Nr. </w:t>
    </w:r>
    <w:r w:rsidRPr="00254FB3">
      <w:rPr>
        <w:b/>
        <w:bCs/>
        <w:noProof/>
      </w:rPr>
      <w:t>200</w:t>
    </w:r>
  </w:p>
  <w:p w:rsidR="00254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AE7F8C"/>
    <w:multiLevelType w:val="multilevel"/>
    <w:tmpl w:val="02AE7F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1">
    <w:nsid w:val="233B3437"/>
    <w:multiLevelType w:val="multilevel"/>
    <w:tmpl w:val="233B343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15:restartNumberingAfterBreak="1">
    <w:nsid w:val="7F1B7FE0"/>
    <w:multiLevelType w:val="multilevel"/>
    <w:tmpl w:val="7F1B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E6466"/>
    <w:rsid w:val="00254FB3"/>
    <w:rsid w:val="002E6466"/>
    <w:rsid w:val="00321679"/>
    <w:rsid w:val="00775726"/>
    <w:rsid w:val="00794EDE"/>
    <w:rsid w:val="00900810"/>
    <w:rsid w:val="00A43212"/>
    <w:rsid w:val="27F6057C"/>
    <w:rsid w:val="334368B8"/>
    <w:rsid w:val="36AF7226"/>
    <w:rsid w:val="3A290443"/>
    <w:rsid w:val="645F54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character" w:customStyle="1" w:styleId="FooterChar">
    <w:name w:val="Footer Char"/>
    <w:basedOn w:val="DefaultParagraphFont"/>
    <w:link w:val="Footer"/>
    <w:uiPriority w:val="99"/>
    <w:qFormat/>
    <w:rPr>
      <w:rFonts w:ascii="Calibri" w:eastAsia="Calibri" w:hAnsi="Calibri"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ptodate.com/contents/gastroesophageal-reflux-disease-in-adults-beyond-the-basics?search=GERD&amp;topicRef=2239&amp;source=see_link" TargetMode="External" /><Relationship Id="rId11" Type="http://schemas.openxmlformats.org/officeDocument/2006/relationships/hyperlink" Target="https://www.webmd.com/heartburn-gerd/" TargetMode="External" /><Relationship Id="rId12" Type="http://schemas.openxmlformats.org/officeDocument/2006/relationships/hyperlink" Target="https://www.mayoclinic.org/diseases-conditions/gerd/diagnosis-treatment/drc-20361959"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www.vm.gov.lv/lv/tava_veseliba/veseligs_uzturs/" TargetMode="External" /><Relationship Id="rId9" Type="http://schemas.openxmlformats.org/officeDocument/2006/relationships/hyperlink" Target="http://www.vm.gov.lv/images/userfiles/VM_Uztura_ieteik_pieaug.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6440</Words>
  <Characters>3671</Characters>
  <Application>Microsoft Office Word</Application>
  <DocSecurity>0</DocSecurity>
  <Lines>30</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6</cp:revision>
  <dcterms:created xsi:type="dcterms:W3CDTF">2020-11-10T07:04:00Z</dcterms:created>
  <dcterms:modified xsi:type="dcterms:W3CDTF">2020-11-13T12:50:00Z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