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5669B0" w14:paraId="28B85A06" w14:textId="77777777"/>
    <w:tbl>
      <w:tblPr>
        <w:tblStyle w:val="TableGrid"/>
        <w:tblpPr w:leftFromText="180" w:rightFromText="180" w:vertAnchor="page" w:horzAnchor="page" w:tblpX="1831" w:tblpY="2336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331"/>
        <w:gridCol w:w="458"/>
        <w:gridCol w:w="2104"/>
        <w:gridCol w:w="484"/>
        <w:gridCol w:w="3145"/>
      </w:tblGrid>
      <w:tr w14:paraId="6DCCFE65" w14:textId="77777777">
        <w:tblPrEx>
          <w:tblW w:w="0" w:type="auto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4A0"/>
        </w:tblPrEx>
        <w:tc>
          <w:tcPr>
            <w:tcW w:w="8522" w:type="dxa"/>
            <w:gridSpan w:val="5"/>
            <w:tcBorders>
              <w:tl2br w:val="nil"/>
              <w:tr2bl w:val="nil"/>
            </w:tcBorders>
          </w:tcPr>
          <w:p w:rsidR="005669B0" w14:paraId="2F1C8543" w14:textId="77777777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lv-LV"/>
              </w:rPr>
            </w:pPr>
          </w:p>
          <w:p w:rsidR="00BD2981" w:rsidRPr="005669B0" w14:paraId="53BF5281" w14:textId="436259D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-638175</wp:posOffset>
                  </wp:positionH>
                  <wp:positionV relativeFrom="paragraph">
                    <wp:posOffset>-1041400</wp:posOffset>
                  </wp:positionV>
                  <wp:extent cx="6616700" cy="1238250"/>
                  <wp:effectExtent l="0" t="0" r="0" b="0"/>
                  <wp:wrapNone/>
                  <wp:docPr id="1" name="Picture 1" descr="C:\Users\Šlšrutš MT\Downloads\VM_ESF_LV_koriget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805956" name="Picture 1" descr="C:\Users\Šlšrutš MT\Downloads\VM_ESF_LV_koriget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34" t="23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lv-LV"/>
              </w:rPr>
              <w:t>Ieteikumi izstrādāti ESF projekta „Kompleksi veselības veicināšanas un slimību profilakses pasākumi” ietvaros (identifikācijas Nr.9.2.4.1./16/I/001)</w:t>
            </w:r>
          </w:p>
        </w:tc>
      </w:tr>
      <w:tr w14:paraId="2E94260B" w14:textId="77777777">
        <w:tblPrEx>
          <w:tblW w:w="0" w:type="auto"/>
          <w:tblLook w:val="04A0"/>
        </w:tblPrEx>
        <w:tc>
          <w:tcPr>
            <w:tcW w:w="8522" w:type="dxa"/>
            <w:gridSpan w:val="5"/>
            <w:tcBorders>
              <w:tl2br w:val="nil"/>
              <w:tr2bl w:val="nil"/>
            </w:tcBorders>
          </w:tcPr>
          <w:p w:rsidR="00BD2981" w14:paraId="6C48593B" w14:textId="77777777">
            <w:pPr>
              <w:rPr>
                <w:rFonts w:ascii="Times New Roman" w:hAnsi="Times New Roman"/>
              </w:rPr>
            </w:pPr>
          </w:p>
        </w:tc>
      </w:tr>
      <w:tr w14:paraId="618B6958" w14:textId="77777777">
        <w:tblPrEx>
          <w:tblW w:w="0" w:type="auto"/>
          <w:tblLook w:val="04A0"/>
        </w:tblPrEx>
        <w:tc>
          <w:tcPr>
            <w:tcW w:w="8522" w:type="dxa"/>
            <w:gridSpan w:val="5"/>
            <w:tcBorders>
              <w:tl2br w:val="nil"/>
              <w:tr2bl w:val="nil"/>
            </w:tcBorders>
          </w:tcPr>
          <w:p w:rsidR="00BD2981" w14:paraId="04844659" w14:textId="77777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Uztura ieteikumi pēc žultspūšļa izņemšanas 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holecistektomijas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14:paraId="2F249C81" w14:textId="77777777">
        <w:tblPrEx>
          <w:tblW w:w="0" w:type="auto"/>
          <w:tblLook w:val="04A0"/>
        </w:tblPrEx>
        <w:tc>
          <w:tcPr>
            <w:tcW w:w="8522" w:type="dxa"/>
            <w:gridSpan w:val="5"/>
            <w:tcBorders>
              <w:bottom w:val="nil"/>
              <w:tl2br w:val="nil"/>
              <w:tr2bl w:val="nil"/>
            </w:tcBorders>
          </w:tcPr>
          <w:p w:rsidR="00BD2981" w14:paraId="3C554AD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643572F" w14:textId="77777777">
        <w:tblPrEx>
          <w:tblW w:w="0" w:type="auto"/>
          <w:tblLook w:val="04A0"/>
        </w:tblPrEx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D2981" w14:paraId="2A94D38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Ārstējot žultsakmeņu slimību, var rasties nepieciešamība veikt žultspūšļa izgriešanas operāciju. Žultspūslis ir neliels orgāns pie aknām, kas uzkrāj šķidrumu - žulti, kas nodrošina taukvielu un taukos šķīstošo vitamīnu šķelšanu un uzsūkšanos.  Žults tiek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zdalīta tievajā zarnā ēšanas laikā. </w:t>
            </w:r>
          </w:p>
          <w:p w:rsidR="00BD2981" w14:paraId="2A83097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Lielākajai daļai pacientu pēc žultspūšļa izgriešanas nav nepieciešama īpaša diēta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jo bez žultspūšļa gremošanas procesi var noritēt netraucēti. Arī pēc žultspūšļa izņemšanas jāseko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veselīga un pilnvērtīga uztura ieteikumiem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 piemēru  ņemot Veselības ministrijas apstiprinātos veselīga uztura ieteikumus pieaugušajiem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hyperlink r:id="rId6" w:history="1">
              <w:r>
                <w:rPr>
                  <w:rStyle w:val="Hyperlink"/>
                  <w:rFonts w:ascii="Times New Roman" w:hAnsi="Times New Roman"/>
                  <w:i/>
                  <w:iCs/>
                  <w:sz w:val="24"/>
                  <w:szCs w:val="24"/>
                </w:rPr>
                <w:t>http://www.vm.gov.lv/images/userfiles/VM_Uztura_ieteik_pieaug.pdf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D2981" w14:paraId="000F72B4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3496945" cy="3657600"/>
                  <wp:effectExtent l="0" t="0" r="8255" b="0"/>
                  <wp:docPr id="4" name="Picture 4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659516" name="Picture 4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0634" cy="3671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2981" w14:paraId="6BB00DA6" w14:textId="7777777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Hlk53065766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Vizualizācijai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izmantots attēls no: </w:t>
            </w: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www.uptodate.com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bookmarkEnd w:id="0"/>
          <w:p w:rsidR="00BD2981" w:rsidP="005669B0" w14:paraId="4DC59457" w14:textId="4FA787E3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Daļai pacientu pēc </w:t>
            </w:r>
            <w:r>
              <w:rPr>
                <w:rFonts w:ascii="Times New Roman" w:hAnsi="Times New Roman"/>
                <w:sz w:val="24"/>
                <w:szCs w:val="24"/>
              </w:rPr>
              <w:t>žultspūšļa izņemšanas tomēr rodas sūdzības. Kad žultspūslis ir izņemts, žults ir mazāk koncentrēta un tā izdalās tievajās zarnās ilgstoši - ne tikai tad, kad cilvēks uzņem pārtiku. Daļai pacientu tas var radīt caureju. Parasti šķidra vēdera izeja pāriet pē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 dažām nedēļām vai mēnešiem. Nozīme ir arī tauku daudzumam uzturā. Mazāku tauku daudzumu ir vieglāk sagremot, bet lielāks tauku </w:t>
            </w:r>
            <w:r>
              <w:rPr>
                <w:rFonts w:ascii="Times New Roman" w:hAnsi="Times New Roman"/>
                <w:sz w:val="24"/>
                <w:szCs w:val="24"/>
              </w:rPr>
              <w:t>daudzums uzturā var veicināt gāzu veidošanos un šķidru vēdera izeju.</w:t>
            </w:r>
          </w:p>
          <w:p w:rsidR="00BD2981" w14:paraId="2FD89D55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Gremošanas traucējumu gadījumā jāveic dažas uztura korekc</w:t>
            </w:r>
            <w:r>
              <w:rPr>
                <w:rFonts w:ascii="Times New Roman" w:hAnsi="Times New Roman"/>
                <w:sz w:val="24"/>
                <w:szCs w:val="24"/>
              </w:rPr>
              <w:t>ijas.</w:t>
            </w:r>
          </w:p>
          <w:p w:rsidR="00BD2981" w14:paraId="2418838C" w14:textId="77777777">
            <w:pPr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Uztura ieteikumi pēc žultsakmeņu operācijas</w:t>
            </w:r>
          </w:p>
          <w:p w:rsidR="00BD2981" w14:paraId="5B7B5824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Ēdiet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mazām porcijām, 5 – 6 reizes dienā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noteiktā laikā.</w:t>
            </w:r>
          </w:p>
          <w:p w:rsidR="00BD2981" w14:paraId="25F14575" w14:textId="77777777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Tas palīdzēs žultij labāk sajaukties ar ēdienu. Maltītē iekļaujiet liesus olbaltumvielu produktus (liesu gaļu, zivis, vājpiena biezpienu, dārzeņus,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ugļus, </w:t>
            </w:r>
            <w:r>
              <w:rPr>
                <w:rFonts w:ascii="Times New Roman" w:hAnsi="Times New Roman"/>
                <w:sz w:val="24"/>
                <w:szCs w:val="24"/>
              </w:rPr>
              <w:t>pilngraudu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produktus).</w:t>
            </w:r>
          </w:p>
          <w:p w:rsidR="00BD2981" w14:paraId="34024DF4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Samaziniet tauku daudzumu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maltītē. </w:t>
            </w:r>
          </w:p>
          <w:p w:rsidR="00BD2981" w14:paraId="5775692C" w14:textId="77777777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Nelietojiet treknus produktus (treknu gaļu, krējumu, saldo krējumu, sviestu) un mērces.</w:t>
            </w:r>
          </w:p>
          <w:p w:rsidR="00BD2981" w14:paraId="4E50AD87" w14:textId="77777777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Nelietojiet saceptus, žāvētus, sālītus produktus, svaigas mīklas izstrādājumus vismaz nedēļu pēc operā</w:t>
            </w:r>
            <w:r>
              <w:rPr>
                <w:rFonts w:ascii="Times New Roman" w:hAnsi="Times New Roman"/>
                <w:sz w:val="24"/>
                <w:szCs w:val="24"/>
              </w:rPr>
              <w:t>cijas.</w:t>
            </w:r>
          </w:p>
          <w:p w:rsidR="00BD2981" w14:paraId="081DE724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Palieliniet šķiedrvielu daudzumu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uzturā. Tas palīdzēs normalizēt zarnu darbību. Svarīgi ir lietot šķīstošās šķiedrvielas (izvēlieties auzu pārslas, miežus, linsēklas, banānus, bumbierus, ābolus, miežus, rudzus, avokado, burkānus, aprikozes, </w:t>
            </w:r>
            <w:r>
              <w:rPr>
                <w:rFonts w:ascii="Times New Roman" w:hAnsi="Times New Roman"/>
                <w:sz w:val="24"/>
                <w:szCs w:val="24"/>
              </w:rPr>
              <w:t>nektarīn</w:t>
            </w:r>
            <w:r>
              <w:rPr>
                <w:rFonts w:ascii="Times New Roman" w:hAnsi="Times New Roman"/>
                <w:sz w:val="24"/>
                <w:szCs w:val="24"/>
              </w:rPr>
              <w:t>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BD2981" w14:paraId="7E391469" w14:textId="77777777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Atcerieties, ka šķiedrvielu daudzums uzturā ir jāpalielina pakāpeniski, pretējā gadījumā tās var izsaukt vēdera sāpes un palielināt gāzu veidošanos zarnās.</w:t>
            </w:r>
          </w:p>
          <w:p w:rsidR="00BD2981" w14:paraId="6ED0F328" w14:textId="77777777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BD2981" w14:paraId="610D3ED7" w14:textId="77777777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Mēģiniet samazināt tādu produktu lietošanu, kas var pastiprināt caureju:</w:t>
            </w:r>
          </w:p>
          <w:p w:rsidR="00BD2981" w14:paraId="54309AF1" w14:textId="77777777">
            <w:pPr>
              <w:pStyle w:val="ListParagraph"/>
              <w:numPr>
                <w:ilvl w:val="2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Kafiju, tēju, šokolā</w:t>
            </w:r>
            <w:r>
              <w:rPr>
                <w:rFonts w:ascii="Times New Roman" w:hAnsi="Times New Roman"/>
                <w:sz w:val="24"/>
                <w:szCs w:val="24"/>
              </w:rPr>
              <w:t>di (kofeīnu saturošus ēdienus un dzērienus)</w:t>
            </w:r>
          </w:p>
          <w:p w:rsidR="00BD2981" w14:paraId="67B4EB69" w14:textId="77777777">
            <w:pPr>
              <w:pStyle w:val="ListParagraph"/>
              <w:numPr>
                <w:ilvl w:val="2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Pienu/ piena produktus</w:t>
            </w:r>
          </w:p>
          <w:p w:rsidR="00BD2981" w14:paraId="22B80F83" w14:textId="77777777">
            <w:pPr>
              <w:pStyle w:val="ListParagraph"/>
              <w:numPr>
                <w:ilvl w:val="2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Ļoti asus ēdienus</w:t>
            </w:r>
          </w:p>
          <w:p w:rsidR="00BD2981" w14:paraId="0A37CB71" w14:textId="77777777">
            <w:pPr>
              <w:pStyle w:val="ListParagraph"/>
              <w:numPr>
                <w:ilvl w:val="2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Ļoti saldus ēdienus un dzērienus</w:t>
            </w:r>
          </w:p>
          <w:p w:rsidR="00BD2981" w14:paraId="19846008" w14:textId="77777777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 caureja nepāriet, vērsieties pie sava ārsta. Ārsts izvērtēs vajadzību nozīmēt medikamentus, kas mazina zarnu kustības vai žults </w:t>
            </w:r>
            <w:r>
              <w:rPr>
                <w:rFonts w:ascii="Times New Roman" w:hAnsi="Times New Roman"/>
                <w:sz w:val="24"/>
                <w:szCs w:val="24"/>
              </w:rPr>
              <w:t>iedarbību.</w:t>
            </w:r>
          </w:p>
          <w:p w:rsidR="00BD2981" w14:paraId="0664CC4E" w14:textId="77777777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Iespējams, Jums būs nepieciešami arī vitamīnu preparāti, lai kompensētu nepietiekamu  taukos šķīstošo vitamīnu uzsūkšanos, bet arī par to lietošanu konsultējieties ar ārstu.</w:t>
            </w:r>
          </w:p>
          <w:p w:rsidR="00BD2981" w14:paraId="63FE850E" w14:textId="77777777">
            <w:pPr>
              <w:ind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Uztura rekomendācijas pirmajās nedēļās pēc operācijas, ja Jums ir gremo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šanas traucējumi:</w:t>
            </w:r>
          </w:p>
        </w:tc>
      </w:tr>
      <w:tr w14:paraId="512B5404" w14:textId="77777777">
        <w:tblPrEx>
          <w:tblW w:w="0" w:type="auto"/>
          <w:tblLook w:val="04A0"/>
        </w:tblPrEx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BD2981" w14:paraId="50746B88" w14:textId="7777777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BD2981" w14:paraId="1D4E28DC" w14:textId="7777777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BD2981" w14:paraId="5A823B57" w14:textId="7777777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15502685" w14:textId="77777777">
        <w:tblPrEx>
          <w:tblW w:w="0" w:type="auto"/>
          <w:tblLook w:val="04A0"/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06430E60" w14:textId="777777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Produktu veids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558B2216" w14:textId="777777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Ieteicamie produkti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55A77C15" w14:textId="777777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Nevēlamie produkti</w:t>
            </w:r>
          </w:p>
        </w:tc>
      </w:tr>
      <w:tr w14:paraId="7F1AA7DF" w14:textId="77777777">
        <w:tblPrEx>
          <w:tblW w:w="0" w:type="auto"/>
          <w:tblLook w:val="04A0"/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3EE27D94" w14:textId="77777777">
            <w:pPr>
              <w:pStyle w:val="NormalWeb"/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Graudaugi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11F878A0" w14:textId="77777777">
            <w:pPr>
              <w:pStyle w:val="NormalWeb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Pilngraudu</w:t>
            </w:r>
            <w:r>
              <w:rPr>
                <w:sz w:val="24"/>
                <w:szCs w:val="24"/>
              </w:rPr>
              <w:t xml:space="preserve"> maize, </w:t>
            </w:r>
            <w:r>
              <w:rPr>
                <w:sz w:val="24"/>
                <w:szCs w:val="24"/>
              </w:rPr>
              <w:t>pilngraudu</w:t>
            </w:r>
            <w:r>
              <w:rPr>
                <w:sz w:val="24"/>
                <w:szCs w:val="24"/>
              </w:rPr>
              <w:t xml:space="preserve"> makaroni, brūnie rīsi, auzu pārslas, mieži, prosa, griķi, </w:t>
            </w:r>
            <w:r>
              <w:rPr>
                <w:sz w:val="24"/>
                <w:szCs w:val="24"/>
              </w:rPr>
              <w:t>kvinoja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04384E26" w14:textId="77777777">
            <w:pPr>
              <w:pStyle w:val="NormalWeb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Baltmaize, kviešu milti, manna.</w:t>
            </w:r>
          </w:p>
        </w:tc>
      </w:tr>
      <w:tr w14:paraId="2D0DB1F4" w14:textId="77777777">
        <w:tblPrEx>
          <w:tblW w:w="0" w:type="auto"/>
          <w:tblLook w:val="04A0"/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3CA70C53" w14:textId="77777777">
            <w:pPr>
              <w:pStyle w:val="NormalWeb"/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Kartupeļi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6F909ECC" w14:textId="77777777">
            <w:pPr>
              <w:pStyle w:val="NormalWeb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Vārīti kartupeļi, ar mizu </w:t>
            </w:r>
            <w:r>
              <w:rPr>
                <w:sz w:val="24"/>
                <w:szCs w:val="24"/>
              </w:rPr>
              <w:t>vārīti kartupeļi, kartupeļu biezputra.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1A28DF5D" w14:textId="77777777">
            <w:pPr>
              <w:pStyle w:val="NormalWeb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Frī</w:t>
            </w:r>
            <w:r>
              <w:rPr>
                <w:sz w:val="24"/>
                <w:szCs w:val="24"/>
              </w:rPr>
              <w:t xml:space="preserve"> kartupeļi, cepti kartupeļi, kroketes, kartupeļu pankūkas.</w:t>
            </w:r>
          </w:p>
        </w:tc>
      </w:tr>
      <w:tr w14:paraId="56C81627" w14:textId="77777777">
        <w:tblPrEx>
          <w:tblW w:w="0" w:type="auto"/>
          <w:tblLook w:val="04A0"/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017095D7" w14:textId="77777777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Dārzeņi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5731156C" w14:textId="7777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 (izņemot “nevēlamos”)</w:t>
            </w:r>
          </w:p>
          <w:p w:rsidR="00BD2981" w14:paraId="110FB28B" w14:textId="777777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Brokoļi, ziedkāposti un ķirbji sākumā pēc operācijas  var radīt diskomforta sajūtu, tāpēc iekļaujiet tos  uzturā pakāpe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niski, termiski apstrādājot ilgāku laiku.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2241496D" w14:textId="77777777">
            <w:pPr>
              <w:pStyle w:val="NormalWeb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Dārzeņi, kas bagāti ar ēteriskajām eļļām (redīsi, </w:t>
            </w:r>
            <w:r>
              <w:rPr>
                <w:sz w:val="24"/>
                <w:szCs w:val="24"/>
              </w:rPr>
              <w:t>sīpoli, ķiploki) un skābeņskābi (spināti, bietes).</w:t>
            </w:r>
          </w:p>
          <w:p w:rsidR="00BD2981" w14:paraId="3DAAA6A6" w14:textId="77777777">
            <w:pPr>
              <w:pStyle w:val="NormalWeb"/>
              <w:spacing w:before="0" w:beforeAutospacing="0" w:after="0" w:afterAutospacing="0"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Rabarberi.</w:t>
            </w:r>
          </w:p>
        </w:tc>
      </w:tr>
      <w:tr w14:paraId="5B8729E8" w14:textId="77777777">
        <w:tblPrEx>
          <w:tblW w:w="0" w:type="auto"/>
          <w:tblLook w:val="04A0"/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5506CCEE" w14:textId="77777777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Augļi, ogas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00F09C7C" w14:textId="77777777">
            <w:pPr>
              <w:pStyle w:val="NormalWeb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Visi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29AFE23E" w14:textId="77777777">
            <w:pPr>
              <w:pStyle w:val="NormalWeb"/>
              <w:spacing w:line="276" w:lineRule="auto"/>
              <w:rPr>
                <w:sz w:val="24"/>
                <w:szCs w:val="24"/>
                <w:u w:val="single"/>
              </w:rPr>
            </w:pPr>
          </w:p>
        </w:tc>
      </w:tr>
      <w:tr w14:paraId="2B1C58E6" w14:textId="77777777">
        <w:tblPrEx>
          <w:tblW w:w="0" w:type="auto"/>
          <w:tblLook w:val="04A0"/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6B5F9643" w14:textId="77777777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Gaļa, zivis, olas u.c.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4D147CEE" w14:textId="7777777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Liesa gaļa (vēlams vārīt, sautēt, tvaicēt).</w:t>
            </w:r>
          </w:p>
          <w:p w:rsidR="00BD2981" w14:paraId="26098237" w14:textId="7777777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Liesas zivis (menca, asaris, karpa u.c.),        </w:t>
            </w:r>
          </w:p>
          <w:p w:rsidR="00BD2981" w14:paraId="55D543F5" w14:textId="7777777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konservētas zivis savā sulā.</w:t>
            </w:r>
          </w:p>
          <w:p w:rsidR="00BD2981" w14:paraId="719CEEE2" w14:textId="77777777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Olas, olu ēdieni –omlete, kultenis (vienā ēdienreizē var lietot vienu olas dzeltenumu)</w:t>
            </w:r>
          </w:p>
          <w:p w:rsidR="00BD2981" w14:paraId="2C854EFC" w14:textId="77777777">
            <w:pPr>
              <w:pStyle w:val="NormalWeb"/>
              <w:spacing w:before="0" w:beforeAutospacing="0" w:after="0" w:afterAutospacing="0" w:line="276" w:lineRule="auto"/>
              <w:rPr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Tofu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1133EF31" w14:textId="777777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Gaļas izstrādājumi (desas, sardeles).</w:t>
            </w:r>
          </w:p>
          <w:p w:rsidR="00BD2981" w14:paraId="106BF5E2" w14:textId="777777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Cepta, žāvēta, kūpināta,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grilēta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gaļa un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zivis.</w:t>
            </w:r>
          </w:p>
          <w:p w:rsidR="00BD2981" w14:paraId="18C492BB" w14:textId="777777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Trekna, kūpināta, pikanta, sīksta, stipri sacepta gaļa,                         speķis, putnu gaļas āda,                    gaļas konservi, aknas.</w:t>
            </w:r>
          </w:p>
          <w:p w:rsidR="00BD2981" w14:paraId="483DC92E" w14:textId="77777777">
            <w:pPr>
              <w:pStyle w:val="NormalWeb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Treknas zivis (zuši, lasis, siļķe),   jūras veltas (garneles u.c.).</w:t>
            </w:r>
          </w:p>
          <w:p w:rsidR="00BD2981" w14:paraId="055BBADD" w14:textId="77777777">
            <w:pPr>
              <w:pStyle w:val="NormalWeb"/>
              <w:spacing w:before="0" w:beforeAutospacing="0" w:after="0" w:afterAutospacing="0"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Trekni saldie vai pikanti olu </w:t>
            </w:r>
            <w:r>
              <w:rPr>
                <w:sz w:val="24"/>
                <w:szCs w:val="24"/>
              </w:rPr>
              <w:t>ēdieni.</w:t>
            </w:r>
          </w:p>
        </w:tc>
      </w:tr>
      <w:tr w14:paraId="1F6B3978" w14:textId="77777777">
        <w:tblPrEx>
          <w:tblW w:w="0" w:type="auto"/>
          <w:tblLook w:val="04A0"/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798B3443" w14:textId="77777777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Pākšaugi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6C60DDD5" w14:textId="77777777">
            <w:pPr>
              <w:pStyle w:val="NormalWeb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Vārīti zirņi, pupas, lēcas.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5B2B1902" w14:textId="77777777">
            <w:pPr>
              <w:pStyle w:val="NormalWeb"/>
              <w:spacing w:line="276" w:lineRule="auto"/>
              <w:rPr>
                <w:sz w:val="24"/>
                <w:szCs w:val="24"/>
                <w:u w:val="single"/>
              </w:rPr>
            </w:pPr>
          </w:p>
        </w:tc>
      </w:tr>
      <w:tr w14:paraId="04E2989F" w14:textId="77777777">
        <w:tblPrEx>
          <w:tblW w:w="0" w:type="auto"/>
          <w:tblLook w:val="04A0"/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6F887EF7" w14:textId="77777777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Piena produkti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627BC9C8" w14:textId="77777777">
            <w:pPr>
              <w:pStyle w:val="NormalWeb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Piena produkti ar pazeminātu tauku saturu (0,5 %) – piens, kefīrs, jogurts, biezpiens, paniņas, siers - svaigais siers.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41F8E7D4" w14:textId="77777777">
            <w:pPr>
              <w:pStyle w:val="NormalWeb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Pilnpiens, pilnpiena kefīrs, Trekni piena produkti - jogurts,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biezpiens, skābais krējums, cietie un pikantie sieri (tauku saturs sausnā &gt;45%), glazētie biezpiena sieriņi,  margarīns.</w:t>
            </w:r>
          </w:p>
        </w:tc>
      </w:tr>
      <w:tr w14:paraId="0D63B330" w14:textId="77777777">
        <w:tblPrEx>
          <w:tblW w:w="0" w:type="auto"/>
          <w:tblLook w:val="04A0"/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0405AEC2" w14:textId="77777777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Saldumi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690DF548" w14:textId="77777777">
            <w:pPr>
              <w:pStyle w:val="NormalWeb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Cukurs, ievārījums, marmelāde, medus - mazos daudzumos (ne vairāk kā 1 tējk. vienā ēdienreizē).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5787BCD2" w14:textId="77777777">
            <w:pPr>
              <w:pStyle w:val="NormalWeb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Cukurs lielos daudzumos, šokol</w:t>
            </w:r>
            <w:r>
              <w:rPr>
                <w:sz w:val="24"/>
                <w:szCs w:val="24"/>
              </w:rPr>
              <w:t>āde, marcipāns, šokolādes konfektes, īriss.</w:t>
            </w:r>
          </w:p>
        </w:tc>
      </w:tr>
      <w:tr w14:paraId="56741553" w14:textId="77777777">
        <w:tblPrEx>
          <w:tblW w:w="0" w:type="auto"/>
          <w:tblLook w:val="04A0"/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44DDE552" w14:textId="77777777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Tauki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0FB34D10" w14:textId="77777777">
            <w:pPr>
              <w:pStyle w:val="NormalWeb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Visi tauki minimālā daudzumā – ne vairāk kā 1 tējk. vienā ēdienreizē.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6CA02338" w14:textId="77777777">
            <w:pPr>
              <w:pStyle w:val="NormalWeb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Augu eļļas, majonēze, sviests, saldais krējums, krējums, margarīns, dzīvnieku tauki – lielos daudzumos.</w:t>
            </w:r>
          </w:p>
        </w:tc>
      </w:tr>
      <w:tr w14:paraId="1D8E4C72" w14:textId="77777777">
        <w:tblPrEx>
          <w:tblW w:w="0" w:type="auto"/>
          <w:tblLook w:val="04A0"/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3E630644" w14:textId="77777777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Rieksti, sēklas, žāvēti augļi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77F434DE" w14:textId="77777777">
            <w:pPr>
              <w:pStyle w:val="NormalWeb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Rieksti, sēklas, žāvēti augļi.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6E9D2481" w14:textId="77777777">
            <w:pPr>
              <w:pStyle w:val="NormalWeb"/>
              <w:spacing w:line="276" w:lineRule="auto"/>
              <w:rPr>
                <w:sz w:val="24"/>
                <w:szCs w:val="24"/>
                <w:u w:val="single"/>
              </w:rPr>
            </w:pPr>
          </w:p>
        </w:tc>
      </w:tr>
      <w:tr w14:paraId="6FC8DDD2" w14:textId="77777777">
        <w:tblPrEx>
          <w:tblW w:w="0" w:type="auto"/>
          <w:tblLook w:val="04A0"/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77177452" w14:textId="77777777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Dzērieni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59D675DC" w14:textId="77777777">
            <w:pPr>
              <w:pStyle w:val="NormalWeb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Ūdens, zāļu tējas, sulas.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13744D5E" w14:textId="77777777">
            <w:pPr>
              <w:pStyle w:val="NormalWeb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Kafija, alkohols, saldināti dzērieni.</w:t>
            </w:r>
          </w:p>
        </w:tc>
      </w:tr>
      <w:tr w14:paraId="21E16029" w14:textId="77777777">
        <w:tblPrEx>
          <w:tblW w:w="0" w:type="auto"/>
          <w:tblLook w:val="04A0"/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07F2B6DB" w14:textId="77777777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Citi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055DA2E3" w14:textId="77777777">
            <w:pPr>
              <w:pStyle w:val="NormalWeb"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D2981" w14:paraId="743EA232" w14:textId="77777777">
            <w:pPr>
              <w:pStyle w:val="NormalWeb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Konditorejas izstrādājumi, </w:t>
            </w:r>
            <w:r>
              <w:rPr>
                <w:sz w:val="24"/>
                <w:szCs w:val="24"/>
              </w:rPr>
              <w:t>pankūkas, tortes.</w:t>
            </w:r>
          </w:p>
        </w:tc>
      </w:tr>
      <w:tr w14:paraId="333F1405" w14:textId="77777777">
        <w:tblPrEx>
          <w:tblW w:w="0" w:type="auto"/>
          <w:tblLook w:val="04A0"/>
        </w:tblPrEx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BD2981" w14:paraId="5E32D272" w14:textId="7777777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BD2981" w14:paraId="5EC0392D" w14:textId="77777777">
            <w:pPr>
              <w:pStyle w:val="NormalWeb"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BD2981" w14:paraId="0F5E646B" w14:textId="77777777">
            <w:pPr>
              <w:pStyle w:val="NormalWeb"/>
              <w:spacing w:line="276" w:lineRule="auto"/>
              <w:rPr>
                <w:sz w:val="24"/>
                <w:szCs w:val="24"/>
              </w:rPr>
            </w:pPr>
          </w:p>
        </w:tc>
      </w:tr>
      <w:tr w14:paraId="2ACDAF71" w14:textId="77777777">
        <w:tblPrEx>
          <w:tblW w:w="0" w:type="auto"/>
          <w:tblLook w:val="04A0"/>
        </w:tblPrEx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D2981" w14:paraId="15EFD1AB" w14:textId="7777777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Citi uztura ieteikumi:</w:t>
            </w:r>
          </w:p>
          <w:p w:rsidR="00BD2981" w14:paraId="2C4B5C66" w14:textId="77777777">
            <w:pPr>
              <w:pStyle w:val="ListParagraph"/>
              <w:numPr>
                <w:ilvl w:val="0"/>
                <w:numId w:val="4"/>
              </w:numPr>
              <w:ind w:left="426" w:hanging="42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Pakāpeniski dažādojiet savu uzturu, iekļaujot ēdienus no visām produktu grupām un ēdiet veselīgu, sabalansētu uzturu. </w:t>
            </w:r>
          </w:p>
          <w:p w:rsidR="00BD2981" w14:paraId="62246F46" w14:textId="77777777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Atbilstoši savām spējām nodarbojieties ar fiziskajām aktivitātēm.</w:t>
            </w:r>
          </w:p>
        </w:tc>
      </w:tr>
      <w:tr w14:paraId="6379B881" w14:textId="77777777">
        <w:tblPrEx>
          <w:tblW w:w="0" w:type="auto"/>
          <w:tblLook w:val="04A0"/>
        </w:tblPrEx>
        <w:tc>
          <w:tcPr>
            <w:tcW w:w="8522" w:type="dxa"/>
            <w:gridSpan w:val="5"/>
            <w:tcBorders>
              <w:top w:val="nil"/>
              <w:tl2br w:val="nil"/>
              <w:tr2bl w:val="nil"/>
            </w:tcBorders>
          </w:tcPr>
          <w:p w:rsidR="00BD2981" w14:paraId="2FD041D1" w14:textId="77777777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14:paraId="12B183B8" w14:textId="77777777">
        <w:tblPrEx>
          <w:tblW w:w="0" w:type="auto"/>
          <w:tblLook w:val="04A0"/>
        </w:tblPrEx>
        <w:tc>
          <w:tcPr>
            <w:tcW w:w="8522" w:type="dxa"/>
            <w:gridSpan w:val="5"/>
            <w:tcBorders>
              <w:tl2br w:val="nil"/>
              <w:tr2bl w:val="nil"/>
            </w:tcBorders>
          </w:tcPr>
          <w:p w:rsidR="005669B0" w:rsidP="005669B0" w14:paraId="05D2285C" w14:textId="77777777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Ieteikumi sagatavoti sadarbībā ar Rīgas Stradiņa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universitātes asoc. prof.,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P.Stradiņa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Klīniskās universitātes slimnīcas dietoloģi,  Latvijas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Uzturzinātnes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speciālistu biedrības valdes priekšsēdētāju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Dr.Lailu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Meiju. Informatīvajā materiālā iekļautā informācija ir saskaņota ar Latvijas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Gastroenterologu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ociāciju un Latvijas Ķirurgu asociāciju.</w:t>
            </w:r>
          </w:p>
          <w:p w:rsidR="00BD2981" w:rsidP="005669B0" w14:paraId="4A434B6D" w14:textId="6A63057F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Rekomendācijas ir vispārīgas. Katram cilvēkam ir savas individuālās uztura vajadzības, ņemot vērā slimības smagumu, citas slimības, produktu nepanesību, lietotos medikamentus, vecumu, dzimumu, fizisko aktivitāti u.c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faktorus.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Lai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saņemtu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individuālas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rekomendācijas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konsultējaties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ar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dietologu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vai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uztura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speciālistu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.</w:t>
            </w:r>
            <w:bookmarkStart w:id="1" w:name="_GoBack"/>
            <w:bookmarkEnd w:id="1"/>
          </w:p>
        </w:tc>
      </w:tr>
      <w:tr w14:paraId="6D5A6BC2" w14:textId="77777777">
        <w:tblPrEx>
          <w:tblW w:w="0" w:type="auto"/>
          <w:tblLook w:val="04A0"/>
        </w:tblPrEx>
        <w:tc>
          <w:tcPr>
            <w:tcW w:w="8522" w:type="dxa"/>
            <w:gridSpan w:val="5"/>
            <w:tcBorders>
              <w:tl2br w:val="nil"/>
              <w:tr2bl w:val="nil"/>
            </w:tcBorders>
          </w:tcPr>
          <w:p w:rsidR="00BD2981" w14:paraId="3F16EBA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20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Izmantotās literatūras avoti:</w:t>
            </w:r>
          </w:p>
        </w:tc>
      </w:tr>
      <w:tr w14:paraId="60CEA772" w14:textId="77777777">
        <w:tblPrEx>
          <w:tblW w:w="0" w:type="auto"/>
          <w:tblLook w:val="04A0"/>
        </w:tblPrEx>
        <w:tc>
          <w:tcPr>
            <w:tcW w:w="8522" w:type="dxa"/>
            <w:gridSpan w:val="5"/>
            <w:tcBorders>
              <w:tl2br w:val="nil"/>
              <w:tr2bl w:val="nil"/>
            </w:tcBorders>
          </w:tcPr>
          <w:p w:rsidR="00BD2981" w14:paraId="40E4DD60" w14:textId="777777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Clinic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recommend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diet </w:t>
            </w:r>
            <w:r>
              <w:rPr>
                <w:rFonts w:ascii="Times New Roman" w:hAnsi="Times New Roman"/>
                <w:sz w:val="24"/>
                <w:szCs w:val="24"/>
              </w:rPr>
              <w:t>after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gallbladder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removal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hyperlink r:id="rId9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https://www.mayoclinic.org/tests-procedures/cholecystectomy/exper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t-answers/gallbladder-removal-diet/faq-20057813</w:t>
              </w:r>
            </w:hyperlink>
          </w:p>
          <w:p w:rsidR="00BD2981" w14:paraId="270D74EF" w14:textId="777777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NHS. Do I </w:t>
            </w:r>
            <w:r>
              <w:rPr>
                <w:rFonts w:ascii="Times New Roman" w:hAnsi="Times New Roman"/>
                <w:sz w:val="24"/>
                <w:szCs w:val="24"/>
              </w:rPr>
              <w:t>need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sz w:val="24"/>
                <w:szCs w:val="24"/>
              </w:rPr>
              <w:t>change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diet </w:t>
            </w:r>
            <w:r>
              <w:rPr>
                <w:rFonts w:ascii="Times New Roman" w:hAnsi="Times New Roman"/>
                <w:sz w:val="24"/>
                <w:szCs w:val="24"/>
              </w:rPr>
              <w:t>after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gallbladder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surgery</w:t>
            </w:r>
            <w:r>
              <w:rPr>
                <w:rFonts w:ascii="Times New Roman" w:hAnsi="Times New Roman"/>
                <w:sz w:val="24"/>
                <w:szCs w:val="24"/>
              </w:rPr>
              <w:t>? Aktualizēts 2018</w:t>
            </w:r>
            <w:r>
              <w:t xml:space="preserve"> </w:t>
            </w:r>
            <w:hyperlink r:id="rId10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https://www.nhs.uk/common-health-questions/operations-tests-and-procedures/do-i-need-to-change-my-diet-after-gall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bladder-surgery/</w:t>
              </w:r>
            </w:hyperlink>
          </w:p>
          <w:p w:rsidR="00BD2981" w14:paraId="4A4BAC1F" w14:textId="77777777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Cleveland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Clinic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What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sz w:val="24"/>
                <w:szCs w:val="24"/>
              </w:rPr>
              <w:t>Eat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After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Have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Your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Gallbladder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Removed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2019. </w:t>
            </w:r>
            <w:hyperlink r:id="rId11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https://health.clevelandclinic.org/5-ways-to-avoid-d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iscomfort-after-your-gallbladder-removal/</w:t>
              </w:r>
            </w:hyperlink>
          </w:p>
          <w:p w:rsidR="00BD2981" w14:paraId="5416FD0C" w14:textId="77777777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Attēla izmantošana saskaņota ar www.uptodate.com vietnes uzturētāju un attēla autoru </w:t>
            </w:r>
            <w:r>
              <w:rPr>
                <w:rFonts w:ascii="Times New Roman" w:hAnsi="Times New Roman"/>
                <w:sz w:val="24"/>
                <w:szCs w:val="24"/>
              </w:rPr>
              <w:t>Vege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SS. Attēla pirmavots: </w:t>
            </w:r>
            <w:r>
              <w:rPr>
                <w:rFonts w:ascii="Times New Roman" w:hAnsi="Times New Roman"/>
                <w:sz w:val="24"/>
                <w:szCs w:val="24"/>
              </w:rPr>
              <w:t>Vege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SS. </w:t>
            </w:r>
            <w:r>
              <w:rPr>
                <w:rFonts w:ascii="Times New Roman" w:hAnsi="Times New Roman"/>
                <w:sz w:val="24"/>
                <w:szCs w:val="24"/>
              </w:rPr>
              <w:t>Patient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Acute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pancreatitis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Beyond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Basics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</w:rPr>
              <w:t>Copyright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© 2020 </w:t>
            </w:r>
            <w:r>
              <w:rPr>
                <w:rFonts w:ascii="Times New Roman" w:hAnsi="Times New Roman"/>
                <w:sz w:val="24"/>
                <w:szCs w:val="24"/>
              </w:rPr>
              <w:t>UpToDate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Inc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Attēla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autors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neuzņemas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atbildību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attēla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tulkojumu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Attēls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oriģinālvalodā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skatāms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www.uptodate.com</w:t>
            </w:r>
            <w:r>
              <w:t>.</w:t>
            </w:r>
          </w:p>
          <w:p w:rsidR="00BD2981" w14:paraId="10F6A2C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200" w:line="240" w:lineRule="auto"/>
              <w:ind w:left="660" w:hanging="660" w:hangingChars="30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</w:rPr>
                <w:t>https://www-uptodate-com.db.rsu.lv/contents/images/PI/61473/PancreasanatomyPI.jpg</w:t>
              </w:r>
            </w:hyperlink>
          </w:p>
        </w:tc>
      </w:tr>
      <w:tr w14:paraId="3AB711AC" w14:textId="77777777">
        <w:tblPrEx>
          <w:tblW w:w="0" w:type="auto"/>
          <w:tblLook w:val="04A0"/>
        </w:tblPrEx>
        <w:trPr>
          <w:trHeight w:val="70"/>
        </w:trPr>
        <w:tc>
          <w:tcPr>
            <w:tcW w:w="2331" w:type="dxa"/>
            <w:tcBorders>
              <w:tl2br w:val="nil"/>
              <w:tr2bl w:val="nil"/>
            </w:tcBorders>
          </w:tcPr>
          <w:p w:rsidR="00BD2981" w14:paraId="72FA986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72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tcBorders>
              <w:tl2br w:val="nil"/>
              <w:tr2bl w:val="nil"/>
            </w:tcBorders>
          </w:tcPr>
          <w:p w:rsidR="00BD2981" w14:paraId="12B4A48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72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gridSpan w:val="2"/>
            <w:tcBorders>
              <w:tl2br w:val="nil"/>
              <w:tr2bl w:val="nil"/>
            </w:tcBorders>
          </w:tcPr>
          <w:p w:rsidR="00BD2981" w14:paraId="37184FB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72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981" w14:paraId="1C2DC66F" w14:textId="77777777">
      <w:pPr>
        <w:rPr>
          <w:rFonts w:ascii="Times New Roman" w:hAnsi="Times New Roman"/>
          <w:sz w:val="24"/>
          <w:szCs w:val="24"/>
        </w:rPr>
      </w:pPr>
    </w:p>
    <w:sectPr>
      <w:headerReference w:type="default" r:id="rId13"/>
      <w:footerReference w:type="default" r:id="rId14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2981" w14:paraId="004F478E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2981" w14:textId="77777777">
                          <w:pPr>
                            <w:pStyle w:val="Foo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2in;height:2in;margin-top:0;margin-left:0;mso-position-horizontal:right;mso-position-horizontal-relative:margin;mso-wrap-distance-bottom:0;mso-wrap-distance-left:9pt;mso-wrap-distance-right:9pt;mso-wrap-distance-top:0;mso-wrap-style:none;position:absolute;v-text-anchor:top;z-index:251658240" filled="f" fillcolor="this" stroked="f" strokeweight="0.5pt">
              <v:textbox style="mso-fit-shape-to-text:t" inset="0,0,0,0">
                <w:txbxContent>
                  <w:p w:rsidR="00BD2981" w14:paraId="24F7F533" w14:textId="77777777">
                    <w:pPr>
                      <w:pStyle w:val="Foo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69B0" w:rsidRPr="005669B0" w:rsidP="005669B0" w14:paraId="3A6E8901" w14:textId="40CE9143">
    <w:pPr>
      <w:pStyle w:val="Header"/>
      <w:jc w:val="right"/>
    </w:pPr>
    <w:r w:rsidRPr="005669B0">
      <w:rPr>
        <w:b/>
        <w:bCs/>
      </w:rPr>
      <w:t>Pielikums Nr.1</w:t>
    </w:r>
    <w:r>
      <w:rPr>
        <w:b/>
        <w:bCs/>
      </w:rPr>
      <w:t>4</w:t>
    </w:r>
    <w:r w:rsidRPr="005669B0">
      <w:rPr>
        <w:b/>
        <w:bCs/>
      </w:rPr>
      <w:t xml:space="preserve"> Veselības ministrijas </w:t>
    </w:r>
    <w:r w:rsidRPr="005669B0">
      <w:rPr>
        <w:b/>
        <w:bCs/>
        <w:noProof/>
      </w:rPr>
      <w:t>Datums skatāms laika zīmogā</w:t>
    </w:r>
    <w:r w:rsidRPr="005669B0">
      <w:rPr>
        <w:b/>
        <w:bCs/>
      </w:rPr>
      <w:t xml:space="preserve"> rīkojumam Nr. </w:t>
    </w:r>
    <w:r w:rsidRPr="005669B0">
      <w:rPr>
        <w:b/>
        <w:bCs/>
        <w:noProof/>
      </w:rPr>
      <w:t>200</w:t>
    </w:r>
  </w:p>
  <w:p w:rsidR="005669B0" w14:paraId="479BDA2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16294901"/>
    <w:multiLevelType w:val="multilevel"/>
    <w:tmpl w:val="162949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1ABC5977"/>
    <w:multiLevelType w:val="multilevel"/>
    <w:tmpl w:val="1ABC59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E565EB9"/>
    <w:multiLevelType w:val="multilevel"/>
    <w:tmpl w:val="2E565EB9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3515D5D"/>
    <w:multiLevelType w:val="multilevel"/>
    <w:tmpl w:val="33515D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74DA58D"/>
    <w:multiLevelType w:val="singleLevel"/>
    <w:tmpl w:val="474DA58D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="360" w:hangingChars="200"/>
      </w:pPr>
      <w:rPr>
        <w:rFonts w:ascii="Wingdings" w:hAnsi="Wingdings" w:hint="default"/>
      </w:rPr>
    </w:lvl>
  </w:abstractNum>
  <w:abstractNum w:abstractNumId="5" w15:restartNumberingAfterBreak="1">
    <w:nsid w:val="6DBB6499"/>
    <w:multiLevelType w:val="multilevel"/>
    <w:tmpl w:val="6DBB64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771C4598"/>
    <w:multiLevelType w:val="multilevel"/>
    <w:tmpl w:val="771C4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5669B0"/>
    <w:rsid w:val="0067071A"/>
    <w:rsid w:val="006857D9"/>
    <w:rsid w:val="006E0E70"/>
    <w:rsid w:val="009B4D4E"/>
    <w:rsid w:val="00AC5783"/>
    <w:rsid w:val="00BD2981"/>
    <w:rsid w:val="00E36DC0"/>
    <w:rsid w:val="2D525DCE"/>
    <w:rsid w:val="334368B8"/>
    <w:rsid w:val="37D35953"/>
    <w:rsid w:val="43B36716"/>
    <w:rsid w:val="59FB48EE"/>
    <w:rsid w:val="645F54B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0807CB1-B8C1-415A-96E5-A296C5C7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uiPriority="99" w:unhideWhenUsed="1" w:qFormat="1"/>
    <w:lsdException w:name="List Bullet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</w:pBdr>
      <w:spacing w:after="160" w:line="252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">
    <w:name w:val="Saraksta rindkopa"/>
    <w:basedOn w:val="Parasts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Parasts">
    <w:name w:val="Parasts"/>
    <w:qFormat/>
    <w:pPr>
      <w:pBdr>
        <w:top w:val="nil"/>
        <w:left w:val="nil"/>
        <w:bottom w:val="nil"/>
        <w:right w:val="nil"/>
      </w:pBdr>
      <w:suppressAutoHyphens/>
      <w:spacing w:after="160" w:line="252" w:lineRule="auto"/>
      <w:textAlignment w:val="baseline"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Noklusjumarindkopasfonts">
    <w:name w:val="Noklusējuma rindkopas fonts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ListTable4-Accent31">
    <w:name w:val="List Table 4 - Accent 31"/>
    <w:basedOn w:val="TableNormal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ps">
    <w:name w:val="hps"/>
    <w:basedOn w:val="DefaultParagraphFont"/>
    <w:qFormat/>
  </w:style>
  <w:style w:type="paragraph" w:styleId="NoSpacing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nhs.uk/common-health-questions/operations-tests-and-procedures/do-i-need-to-change-my-diet-after-gallbladder-surgery/" TargetMode="External" /><Relationship Id="rId11" Type="http://schemas.openxmlformats.org/officeDocument/2006/relationships/hyperlink" Target="https://health.clevelandclinic.org/5-ways-to-avoid-discomfort-after-your-gallbladder-removal/" TargetMode="External" /><Relationship Id="rId12" Type="http://schemas.openxmlformats.org/officeDocument/2006/relationships/hyperlink" Target="https://www-uptodate-com.db.rsu.lv/contents/images/PI/61473/PancreasanatomyPI.jpg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://www.vm.gov.lv/images/userfiles/VM_Uztura_ieteik_pieaug.pdf" TargetMode="External" /><Relationship Id="rId7" Type="http://schemas.openxmlformats.org/officeDocument/2006/relationships/image" Target="media/image2.jpeg" /><Relationship Id="rId8" Type="http://schemas.openxmlformats.org/officeDocument/2006/relationships/hyperlink" Target="http://www.uptodate.com" TargetMode="External" /><Relationship Id="rId9" Type="http://schemas.openxmlformats.org/officeDocument/2006/relationships/hyperlink" Target="https://www.mayoclinic.org/tests-procedures/cholecystectomy/expert-answers/gallbladder-removal-diet/faq-20057813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4831</Words>
  <Characters>2755</Characters>
  <Application>Microsoft Office Word</Application>
  <DocSecurity>0</DocSecurity>
  <Lines>22</Lines>
  <Paragraphs>15</Paragraphs>
  <ScaleCrop>false</ScaleCrop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</dc:creator>
  <cp:lastModifiedBy>Ieva Apine</cp:lastModifiedBy>
  <cp:revision>7</cp:revision>
  <dcterms:created xsi:type="dcterms:W3CDTF">2020-11-11T07:48:00Z</dcterms:created>
  <dcterms:modified xsi:type="dcterms:W3CDTF">2020-11-13T13:09:00Z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