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021827"/>
    <w:tbl>
      <w:tblPr>
        <w:tblStyle w:val="TableGrid"/>
        <w:tblpPr w:leftFromText="180" w:rightFromText="180" w:vertAnchor="page" w:horzAnchor="page" w:tblpX="1831" w:tblpY="2336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936"/>
        <w:gridCol w:w="331"/>
        <w:gridCol w:w="2057"/>
        <w:gridCol w:w="411"/>
        <w:gridCol w:w="193"/>
        <w:gridCol w:w="3594"/>
      </w:tblGrid>
      <w:tr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02182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lv-LV"/>
              </w:rPr>
            </w:pPr>
          </w:p>
          <w:p w:rsidR="000155F4" w:rsidRPr="0002182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-1089660</wp:posOffset>
                  </wp:positionV>
                  <wp:extent cx="6588125" cy="1285875"/>
                  <wp:effectExtent l="0" t="0" r="3175" b="9525"/>
                  <wp:wrapNone/>
                  <wp:docPr id="1" name="Picture 1" descr="C:\Users\Šlšrutš MT\Downloads\VM_ESF_LV_koriget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30655" name="Picture 1" descr="C:\Users\Šlšrutš MT\Downloads\VM_ESF_LV_koriget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1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lv-LV"/>
              </w:rPr>
              <w:t>Ieteikumi izstrādāti ESF projekta „Kompleksi veselības veicināšanas un slimību profilakses pasākumi” ietvaros (identifikācijas Nr.9.2.4.1./16/I/001)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0155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Uztura ieteikumi pēc tievās zarnas operācijas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6"/>
            <w:tcBorders>
              <w:bottom w:val="nil"/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Tievā zarna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sākas no vārtnieka (kuņģa </w:t>
            </w:r>
            <w:r>
              <w:rPr>
                <w:rFonts w:ascii="Times New Roman" w:hAnsi="Times New Roman"/>
                <w:sz w:val="24"/>
                <w:szCs w:val="24"/>
              </w:rPr>
              <w:t>slēdzējmuskuļa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tieši zem kuņģa un beidzas pie aklās zarnas. Tai ir trīs daļas – </w:t>
            </w:r>
            <w:r>
              <w:rPr>
                <w:rFonts w:ascii="Times New Roman" w:hAnsi="Times New Roman"/>
                <w:sz w:val="24"/>
                <w:szCs w:val="24"/>
              </w:rPr>
              <w:t>divpadsmitpirkstu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duodenum</w:t>
            </w:r>
            <w:r>
              <w:rPr>
                <w:rFonts w:ascii="Times New Roman" w:hAnsi="Times New Roman"/>
                <w:sz w:val="24"/>
                <w:szCs w:val="24"/>
              </w:rPr>
              <w:t>), tukšā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jejunum</w:t>
            </w:r>
            <w:r>
              <w:rPr>
                <w:rFonts w:ascii="Times New Roman" w:hAnsi="Times New Roman"/>
                <w:sz w:val="24"/>
                <w:szCs w:val="24"/>
              </w:rPr>
              <w:t>) un līkumainā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ileum</w:t>
            </w:r>
            <w:r>
              <w:rPr>
                <w:rFonts w:ascii="Times New Roman" w:hAnsi="Times New Roman"/>
                <w:sz w:val="24"/>
                <w:szCs w:val="24"/>
              </w:rPr>
              <w:t>) zarna. Pieaugušam cilvēkam tievā zarna ir aptuveni 6,5 m gara, bet tās diametrs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tikai 2,5 cm. Tievajā zarnā uzsūcas uzturvielas - ogļhidrāti, olbaltumvielas, tauki, vitamīni un minerālvielas. Katrai zarnas daļai ir sava funkcija un nozīme uzturvielu, minerālvielu un vitamīnu uzsūkšanā. </w:t>
            </w:r>
          </w:p>
          <w:p w:rsidR="000155F4">
            <w:pPr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Tievās zarnas daļu  nozīme vitamīnu un </w:t>
            </w:r>
            <w:r>
              <w:rPr>
                <w:rFonts w:ascii="Times New Roman" w:hAnsi="Times New Roman"/>
                <w:sz w:val="24"/>
                <w:szCs w:val="24"/>
              </w:rPr>
              <w:t>minerālvielu uzsūkšanā:</w:t>
            </w:r>
          </w:p>
          <w:p w:rsidR="000155F4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605"/>
              <w:gridCol w:w="2605"/>
              <w:gridCol w:w="2605"/>
            </w:tblGrid>
            <w:tr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Tievās zarnas daļa</w:t>
                  </w:r>
                </w:p>
              </w:tc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Zarnas daļas garums</w:t>
                  </w:r>
                </w:p>
              </w:tc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Vitamīnu un minerālvielu uzsūkšanās</w:t>
                  </w:r>
                </w:p>
              </w:tc>
            </w:tr>
            <w:tr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Divpadsmitpirkstu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zarna </w:t>
                  </w:r>
                </w:p>
              </w:tc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20–25 cm </w:t>
                  </w:r>
                </w:p>
              </w:tc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Uzsūcas kalcijs, dzelzs,</w:t>
                  </w:r>
                </w:p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vitamīni A, B, C, D, E, K</w:t>
                  </w:r>
                </w:p>
              </w:tc>
            </w:tr>
            <w:tr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Tukšās zarna</w:t>
                  </w:r>
                </w:p>
              </w:tc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2–2,5 m.</w:t>
                  </w:r>
                </w:p>
              </w:tc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Uzsūcas dzelzs, cinks, varš, fosfors,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magnijs, vitamīni A, B, C, D, E, K,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folskābe</w:t>
                  </w:r>
                </w:p>
              </w:tc>
            </w:tr>
            <w:tr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Līkumainā zarna</w:t>
                  </w:r>
                </w:p>
              </w:tc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3,5–4 m</w:t>
                  </w:r>
                </w:p>
              </w:tc>
              <w:tc>
                <w:tcPr>
                  <w:tcW w:w="2605" w:type="dxa"/>
                </w:tcPr>
                <w:p w:rsidR="000155F4">
                  <w:pPr>
                    <w:framePr w:hSpace="180" w:wrap="around" w:vAnchor="page" w:hAnchor="page" w:x="1831" w:y="2336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Vitamīni  A,  D,  E, K, B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vertAlign w:val="subscript"/>
                    </w:rPr>
                    <w:t>12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155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55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Kad ir izgriezta kāda tievās zarnas daļa, tad atlikušajai zarnai ir jāpielāgojas, lai uzsūktos visas nepieciešamās uzturvielas. Šī procesa laikā var </w:t>
            </w:r>
            <w:r>
              <w:rPr>
                <w:rFonts w:ascii="Times New Roman" w:hAnsi="Times New Roman"/>
                <w:sz w:val="24"/>
                <w:szCs w:val="24"/>
              </w:rPr>
              <w:t>rasties gremošanas traucējumi. Atkarībā no izgrieztās zarnas daļas un garuma rodas izmaiņas zarnu darbībā - cietākas vai mīkstākas konsistences izkārnījumi, vēdera uzpūšanās (gāzes), var būt traucēta minerālvielu un vitamīnu uzsūkšanās, iespējams arī svara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zaudums.</w:t>
            </w:r>
          </w:p>
          <w:p w:rsidR="0001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Uztura ieteikumi:</w:t>
            </w:r>
          </w:p>
          <w:p w:rsidR="00015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Ēdiet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mazas porcijas 6 – 8 reizes dienā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55F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Rūpīgi sakošļājiet pārtiku.</w:t>
            </w:r>
          </w:p>
          <w:p w:rsidR="000155F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 zarnu trakts ir pielāgojies un svars ir stabils, varat atgriezties pie 3 galveno maltīšu uzņemšanas dienā.</w:t>
            </w:r>
          </w:p>
          <w:p w:rsidR="00015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Ēdienreizē izdzeriet ne vairāk kā ½ krūzi ūdens</w:t>
            </w:r>
            <w:r>
              <w:rPr>
                <w:rFonts w:ascii="Times New Roman" w:hAnsi="Times New Roman"/>
                <w:sz w:val="24"/>
                <w:szCs w:val="24"/>
              </w:rPr>
              <w:t>, pretējā gadījumā ūdens ātri izvadīs uzturu caur zarnām, un uzturvielas neuzsūksies pietiekamā daudzumā.</w:t>
            </w:r>
          </w:p>
          <w:p w:rsidR="000155F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Dzeriet  maltīšu starplaikos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(vismaz 1 stundu pirms un pēc maltītes).</w:t>
            </w:r>
          </w:p>
          <w:p w:rsidR="00015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Jaunus produktus un dažādību uzturā ieviesiet pakāpeniski</w:t>
            </w:r>
          </w:p>
          <w:p w:rsidR="00015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Maltītēs jābūt iekļaut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ām visām produktu grupām ar  nepieciešamajām uzturvielām: </w:t>
            </w:r>
            <w:r>
              <w:rPr>
                <w:rFonts w:ascii="Times New Roman" w:hAnsi="Times New Roman"/>
                <w:sz w:val="24"/>
                <w:szCs w:val="24"/>
              </w:rPr>
              <w:t>olbaltumvielām, ogļhidrātiem un taukiem.  Olbaltumvielām ir visbūtiskākā nozīme atveseļošanās procesā.</w:t>
            </w:r>
          </w:p>
          <w:p w:rsidR="000155F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Olbaltumvielas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saturošus produktus uzņemiet katrā ēdienreizē.</w:t>
            </w:r>
          </w:p>
          <w:p w:rsidR="000155F4" w:rsidRPr="00021827" w:rsidP="0002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5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erobežojiet saldumu un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cukuru saturošu produktu lietošanu jo tie var pastiprināt caureju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15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Ierobežojiet uzturā šķiedrvielas</w:t>
            </w:r>
            <w:r>
              <w:rPr>
                <w:rFonts w:ascii="Times New Roman" w:hAnsi="Times New Roman"/>
                <w:sz w:val="24"/>
                <w:szCs w:val="24"/>
              </w:rPr>
              <w:t>, īpaši nešķīstošās šķiedrvielas (rupjmaize, putras). Dažkārt ārsts papildus nozīmē šķīstošo šķiedrvielu preparātus, lai uzlabotu zarnu darbību (mazinātu cau</w:t>
            </w:r>
            <w:r>
              <w:rPr>
                <w:rFonts w:ascii="Times New Roman" w:hAnsi="Times New Roman"/>
                <w:sz w:val="24"/>
                <w:szCs w:val="24"/>
              </w:rPr>
              <w:t>reju).</w:t>
            </w:r>
          </w:p>
          <w:p w:rsidR="00015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Stingri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ierobežojiet alkoholisku un kofeīnu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saturošu dzērienu (kafija, Coca-Cola, tēja) lietošanu</w:t>
            </w:r>
          </w:p>
          <w:p w:rsidR="00015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Mērenā daudzumā lietojiet uzturā taukus.</w:t>
            </w:r>
          </w:p>
          <w:p w:rsidR="000155F4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t>Ēdienam nevajadzē</w:t>
            </w:r>
            <w:r>
              <w:rPr>
                <w:sz w:val="24"/>
                <w:szCs w:val="24"/>
              </w:rPr>
              <w:t>tu būt ne pārāk aukstam, ne pārāk karstam.</w:t>
            </w:r>
          </w:p>
          <w:p w:rsidR="000155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Ieteicamie pārtikas produkti zarnu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adaptācijas periodā (vienu vai vairākus mēnešus pēc operācijas):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01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01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01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Produktu grupas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Ieteicamie produkti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Produkti, no kuriem ir vēlams izvairīties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Graudaugi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ind w:left="120" w:hanging="120" w:hangingChars="5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Rafinētu “balto miltu” produkti manna, kukurūza, baltie rīsi, makaroni, </w:t>
            </w:r>
            <w:r>
              <w:rPr>
                <w:sz w:val="24"/>
                <w:szCs w:val="24"/>
                <w:lang w:eastAsia="en-US"/>
              </w:rPr>
              <w:t>kuskuss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krekeri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cepumi, baltmaize, sausiņi, auzu pārslas, mieži, g</w:t>
            </w:r>
            <w:r>
              <w:rPr>
                <w:sz w:val="24"/>
                <w:szCs w:val="24"/>
              </w:rPr>
              <w:t xml:space="preserve">atavās “brokastu pārslas”, kas satur maz šķiedrvielu (piemēram,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Corn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Flakes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Maize, kas satur sēklas, žāvētus augļus, klijas, </w:t>
            </w:r>
            <w:r>
              <w:rPr>
                <w:sz w:val="24"/>
                <w:szCs w:val="24"/>
                <w:lang w:eastAsia="en-US"/>
              </w:rPr>
              <w:t>pilngraudu</w:t>
            </w:r>
            <w:r>
              <w:rPr>
                <w:sz w:val="24"/>
                <w:szCs w:val="24"/>
                <w:lang w:eastAsia="en-US"/>
              </w:rPr>
              <w:t xml:space="preserve"> maize, rudzu maize, brūnie rīsi, </w:t>
            </w:r>
            <w:r>
              <w:rPr>
                <w:sz w:val="24"/>
                <w:szCs w:val="24"/>
                <w:lang w:eastAsia="en-US"/>
              </w:rPr>
              <w:t>pilngraudu</w:t>
            </w:r>
            <w:r>
              <w:rPr>
                <w:sz w:val="24"/>
                <w:szCs w:val="24"/>
                <w:lang w:eastAsia="en-US"/>
              </w:rPr>
              <w:t xml:space="preserve"> produkti – </w:t>
            </w:r>
            <w:r>
              <w:rPr>
                <w:sz w:val="24"/>
                <w:szCs w:val="24"/>
                <w:lang w:eastAsia="en-US"/>
              </w:rPr>
              <w:t>pilngraudu</w:t>
            </w:r>
            <w:r>
              <w:rPr>
                <w:sz w:val="24"/>
                <w:szCs w:val="24"/>
                <w:lang w:eastAsia="en-US"/>
              </w:rPr>
              <w:t xml:space="preserve"> pā</w:t>
            </w:r>
            <w:r>
              <w:rPr>
                <w:sz w:val="24"/>
                <w:szCs w:val="24"/>
                <w:lang w:eastAsia="en-US"/>
              </w:rPr>
              <w:t xml:space="preserve">rslu putras (mieži, griķi, auzas), makaroni, graudaugu </w:t>
            </w:r>
            <w:r>
              <w:rPr>
                <w:sz w:val="24"/>
                <w:szCs w:val="24"/>
                <w:lang w:eastAsia="en-US"/>
              </w:rPr>
              <w:t>musli</w:t>
            </w:r>
            <w:r>
              <w:rPr>
                <w:sz w:val="24"/>
                <w:szCs w:val="24"/>
                <w:lang w:eastAsia="en-US"/>
              </w:rPr>
              <w:t>, popkorns, klijas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Kartupeļi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Vārīti, mizoti kartupeļi, kartupeļu biezputra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Kartupeļi </w:t>
            </w:r>
            <w:r>
              <w:rPr>
                <w:sz w:val="24"/>
                <w:szCs w:val="24"/>
                <w:lang w:eastAsia="en-US"/>
              </w:rPr>
              <w:t>frī</w:t>
            </w:r>
            <w:r>
              <w:rPr>
                <w:sz w:val="24"/>
                <w:szCs w:val="24"/>
                <w:lang w:eastAsia="en-US"/>
              </w:rPr>
              <w:t>, cepti kartupeļi, kroketes vārīti kartupeļi ar mizu, kartupeļu pankūkas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Dārzeņi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Termiski </w:t>
            </w:r>
            <w:r>
              <w:rPr>
                <w:rFonts w:ascii="Times New Roman" w:hAnsi="Times New Roman"/>
              </w:rPr>
              <w:t xml:space="preserve">apstrādāti, mizoti dārzeņi: burkāni, sparģeļi, spināti, bietes, </w:t>
            </w:r>
            <w:r>
              <w:rPr>
                <w:rFonts w:ascii="Times New Roman" w:hAnsi="Times New Roman"/>
              </w:rPr>
              <w:t>cukīni</w:t>
            </w:r>
            <w:r>
              <w:rPr>
                <w:rFonts w:ascii="Times New Roman" w:hAnsi="Times New Roman"/>
              </w:rPr>
              <w:t>, tomātu mērce, tomāti, kabači, ķirbji bez mizas un sēklām.</w:t>
            </w:r>
          </w:p>
          <w:p w:rsidR="000155F4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Dārzeņu sulas</w:t>
            </w:r>
          </w:p>
          <w:p w:rsidR="000155F4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Avokado, gurķis bez mizas un sēklām, lapu salāti.</w:t>
            </w:r>
          </w:p>
          <w:p w:rsidR="000155F4">
            <w:pPr>
              <w:pStyle w:val="Pa8"/>
              <w:spacing w:after="80"/>
              <w:ind w:left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Neapstrādāti, šķiedraini dārzeņi, piemēram, svaigi kāposti, b</w:t>
            </w:r>
            <w:r>
              <w:rPr>
                <w:sz w:val="24"/>
                <w:szCs w:val="24"/>
                <w:lang w:eastAsia="en-US"/>
              </w:rPr>
              <w:t xml:space="preserve">rokoļi, ziedkāposti, </w:t>
            </w:r>
            <w:r>
              <w:rPr>
                <w:sz w:val="24"/>
                <w:szCs w:val="24"/>
                <w:lang w:eastAsia="en-US"/>
              </w:rPr>
              <w:t>briseles</w:t>
            </w:r>
            <w:r>
              <w:rPr>
                <w:sz w:val="24"/>
                <w:szCs w:val="24"/>
                <w:lang w:eastAsia="en-US"/>
              </w:rPr>
              <w:t xml:space="preserve"> kāposti, kukurūza, redīsi, puravi, paprika.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Pākšaugi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Mazos daudzumos labi </w:t>
            </w:r>
            <w:r>
              <w:rPr>
                <w:sz w:val="24"/>
                <w:szCs w:val="24"/>
                <w:lang w:eastAsia="en-US"/>
              </w:rPr>
              <w:t>pagatavotas lēcas (taču tās var izraisīt vēdera uzpūšanos).</w:t>
            </w:r>
          </w:p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Tofu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Zirņi, pupas.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Augļi, ogas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Mīksti augļi bez mizas vai sēklām, piemēram,  </w:t>
            </w:r>
            <w:r>
              <w:rPr>
                <w:rFonts w:ascii="Times New Roman" w:hAnsi="Times New Roman"/>
              </w:rPr>
              <w:t xml:space="preserve">banāni, gatavas aprikozes, melone, </w:t>
            </w:r>
            <w:r>
              <w:rPr>
                <w:rFonts w:ascii="Times New Roman" w:hAnsi="Times New Roman"/>
              </w:rPr>
              <w:t>nektarīni</w:t>
            </w:r>
            <w:r>
              <w:rPr>
                <w:rFonts w:ascii="Times New Roman" w:hAnsi="Times New Roman"/>
              </w:rPr>
              <w:t xml:space="preserve">, persiki, </w:t>
            </w:r>
            <w:r>
              <w:rPr>
                <w:rFonts w:ascii="Times New Roman" w:hAnsi="Times New Roman"/>
              </w:rPr>
              <w:t>papaija</w:t>
            </w:r>
            <w:r>
              <w:rPr>
                <w:rFonts w:ascii="Times New Roman" w:hAnsi="Times New Roman"/>
              </w:rPr>
              <w:t>.</w:t>
            </w:r>
          </w:p>
          <w:p w:rsidR="000155F4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Konservēti augļi (izņemot  </w:t>
            </w:r>
            <w:r>
              <w:rPr>
                <w:rFonts w:ascii="Times New Roman" w:hAnsi="Times New Roman"/>
              </w:rPr>
              <w:t>ananasi</w:t>
            </w:r>
            <w:r>
              <w:rPr>
                <w:rFonts w:ascii="Times New Roman" w:hAnsi="Times New Roman"/>
              </w:rPr>
              <w:t>).</w:t>
            </w:r>
          </w:p>
          <w:p w:rsidR="000155F4">
            <w:pPr>
              <w:pStyle w:val="Pa8"/>
              <w:spacing w:after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Augļu sulas un biezeņi, piemēram, smiltsērkšķu sula, ābolu biezenis, ābolu sula.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Svaigi un žāvēti augļi un ogas</w:t>
            </w:r>
          </w:p>
          <w:p w:rsidR="0001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Plūmes un plūmju sula.</w:t>
            </w:r>
          </w:p>
          <w:p w:rsidR="000155F4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Konservēti </w:t>
            </w:r>
            <w:r>
              <w:rPr>
                <w:rFonts w:ascii="Times New Roman" w:hAnsi="Times New Roman"/>
              </w:rPr>
              <w:t>ananasi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55F4">
            <w:pPr>
              <w:pStyle w:val="Pa8"/>
              <w:spacing w:after="80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Rieksti un sēklas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Visa veida rieksti un sēklas, piemēram, mandeles, pistācijas, zemesrieksti, lazdu rieksti, saulespuķu sēklas, ķirbju sēklas, linsēklas u.c. 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Dzērieni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Ūdens, tēja (vēlams zāļu tējas), nesaldinātas sulas.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Alkohols, kafija, zaļā tēja, saldināti dzērieni, pie</w:t>
            </w:r>
            <w:r>
              <w:rPr>
                <w:sz w:val="24"/>
                <w:szCs w:val="24"/>
                <w:lang w:eastAsia="en-US"/>
              </w:rPr>
              <w:t xml:space="preserve">mēram, kvass, </w:t>
            </w:r>
            <w:r>
              <w:rPr>
                <w:i/>
                <w:iCs/>
                <w:sz w:val="24"/>
                <w:szCs w:val="24"/>
                <w:lang w:eastAsia="en-US"/>
              </w:rPr>
              <w:t>Coca-Cola</w:t>
            </w:r>
            <w:r>
              <w:rPr>
                <w:sz w:val="24"/>
                <w:szCs w:val="24"/>
                <w:lang w:eastAsia="en-US"/>
              </w:rPr>
              <w:t>, limonādes, saldinātas sulas u.c.</w:t>
            </w:r>
          </w:p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Nelietot ļoti aukstus un ļoti karstus dzērienus!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Gaļa, zivis, olas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Liesa gaļa – vārīta, sautēta, tvaicēta, gatavota mazā taukvielu daudzumā. Liesas saldūdens zivis (asaris, karpa u.c.) sautētas, tv</w:t>
            </w:r>
            <w:r>
              <w:rPr>
                <w:sz w:val="24"/>
                <w:szCs w:val="24"/>
                <w:lang w:eastAsia="en-US"/>
              </w:rPr>
              <w:t>aicētas, gatavotas mazā taukvielu daudzumā.</w:t>
            </w:r>
          </w:p>
          <w:p w:rsidR="000155F4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Konservētas zivis savā sulā.</w:t>
            </w:r>
          </w:p>
          <w:p w:rsidR="000155F4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Olas, olu ēdieni, piemēram, omlete, olu kultenis.</w:t>
            </w:r>
          </w:p>
          <w:p w:rsidR="000155F4">
            <w:pPr>
              <w:pStyle w:val="NormalWeb"/>
              <w:spacing w:before="0" w:beforeAutospacing="0" w:after="0" w:afterAutospacing="0" w:line="276" w:lineRule="auto"/>
              <w:ind w:left="1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Trekna, kūpināta, pikanta, stipri sacepta gaļa, speķis, putnu gaļas āda, gaļas izstrādājumi (desas, gaļas konservi), aknas.</w:t>
            </w:r>
          </w:p>
          <w:p w:rsidR="000155F4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Treknas zivis (zuši, lasis, siļķe).</w:t>
            </w:r>
          </w:p>
          <w:p w:rsidR="000155F4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Kūpinātas, marinētas, konservētas zivis vai to izstrādājumi, </w:t>
            </w:r>
          </w:p>
          <w:p w:rsidR="000155F4">
            <w:pPr>
              <w:pStyle w:val="NormalWeb"/>
              <w:spacing w:before="0" w:beforeAutospacing="0" w:after="0" w:afterAutospacing="0" w:line="276" w:lineRule="auto"/>
              <w:ind w:left="529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Piena produkti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Piena produkti ar pazeminātu tauku saturu – piens, kefīrs, jogurts, biezpiens, paniņas, svaigais siers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Pilnpiena produkti:</w:t>
            </w:r>
          </w:p>
          <w:p w:rsidR="000155F4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Jogurts, kas satur sēklas, riekstus, pilnpiens, pilnpiena kefīrs, biezpiens, skābais krējums (tauku saturs &gt;20%),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cietie un pikantie</w:t>
            </w:r>
            <w:r>
              <w:rPr>
                <w:sz w:val="24"/>
                <w:szCs w:val="24"/>
                <w:lang w:eastAsia="en-US"/>
              </w:rPr>
              <w:t xml:space="preserve"> sieri (tauku saturs sausnā &gt;45%), glazētie biezpiena sieriņi,  sieri ar pelējumu</w:t>
            </w:r>
          </w:p>
          <w:p w:rsidR="000155F4">
            <w:pPr>
              <w:pStyle w:val="NormalWeb"/>
              <w:spacing w:line="276" w:lineRule="auto"/>
              <w:ind w:left="42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Saldumi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Var pievienot </w:t>
            </w:r>
            <w:r>
              <w:rPr>
                <w:sz w:val="24"/>
                <w:szCs w:val="24"/>
                <w:lang w:eastAsia="en-US"/>
              </w:rPr>
              <w:t>stēviju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Visi saldumi stingri jāierobežo</w:t>
            </w:r>
          </w:p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Nelietot saldinātājus: </w:t>
            </w:r>
            <w:r>
              <w:rPr>
                <w:sz w:val="24"/>
                <w:szCs w:val="24"/>
                <w:lang w:eastAsia="en-US"/>
              </w:rPr>
              <w:t>sorbitolu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ksilitolu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mannitolu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Tauki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Augu eļļas, sviests, majonēze – nelielā </w:t>
            </w:r>
            <w:r>
              <w:rPr>
                <w:sz w:val="24"/>
                <w:szCs w:val="24"/>
                <w:lang w:eastAsia="en-US"/>
              </w:rPr>
              <w:t>daudzumā (1 tējk. ēdienreizē), riekstu sviesti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Augu eļļas, sviests, majonēze, dzīvnieku tauki – lielos daudzumos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Garšvielas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 garšaugi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Ķiploki, sīpoli, selerija, asas garšvielas, mārrutki, </w:t>
            </w:r>
            <w:r>
              <w:rPr>
                <w:sz w:val="24"/>
                <w:szCs w:val="24"/>
                <w:lang w:eastAsia="en-US"/>
              </w:rPr>
              <w:t>čili</w:t>
            </w:r>
            <w:r>
              <w:rPr>
                <w:sz w:val="24"/>
                <w:szCs w:val="24"/>
                <w:lang w:eastAsia="en-US"/>
              </w:rPr>
              <w:t>, graudu pipari, anīsa sēklas, rozmarīns, ķimenes, svaigi ga</w:t>
            </w:r>
            <w:r>
              <w:rPr>
                <w:sz w:val="24"/>
                <w:szCs w:val="24"/>
                <w:lang w:eastAsia="en-US"/>
              </w:rPr>
              <w:t>ršaugi</w:t>
            </w:r>
          </w:p>
        </w:tc>
      </w:tr>
      <w:tr>
        <w:tblPrEx>
          <w:tblW w:w="0" w:type="auto"/>
          <w:tblLook w:val="04A0"/>
        </w:tblPrEx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0155F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0155F4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155F4">
            <w:pPr>
              <w:pStyle w:val="ListParagraph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</w:p>
          <w:p w:rsidR="00015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Ja Jums ir izgriezta līkumainā zarna (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ileum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) un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lv-LV"/>
              </w:rPr>
              <w:t>ir saglabāta resnā zarna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, tad uzturā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jāsamazina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oksalātu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daudzums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, lai neveidotos nierakmeņi (īpaši tiem, kam  jau iepriekš tādi ir bijuši). Izvairieties no ēdieniem un dzērieniem, kas satur lielu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oksalātu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 daudzumu: tēja, kafija,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Coca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 -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Cola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, šokolāde, rieksti, sojas produkti, zaļie lapu dārzeņi (spināti), selerijas, og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as,  rabarberi, mandarīni, kāļi, kviešu  dīgsti.</w:t>
            </w:r>
          </w:p>
          <w:p w:rsidR="000155F4">
            <w:pPr>
              <w:pStyle w:val="ListParagraph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</w:p>
          <w:p w:rsidR="00015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888888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Iespējama dažādu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produktu nepanesība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(diskomforts, sāpes vēderā, šķidra vēdera izeja, gāzu veidošanās u.c.)</w:t>
            </w:r>
          </w:p>
          <w:p w:rsidR="000155F4">
            <w:pPr>
              <w:pStyle w:val="ListParagraph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888888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Biežāk to izraisa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t xml:space="preserve">pākšaugi, sēnes, kāpostus dzimtas dārzeņi, sīpoli, ķiploki, puravi,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t>pilngraudu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t xml:space="preserve"> maize ar veseliem graudiem, svaigi cepta maize, cieti vārītas olas, cepts, kūpināts ēdiens, kā arī gāzētie dzērieni un nenogatavojušies augļi.</w:t>
            </w:r>
          </w:p>
          <w:p w:rsidR="000155F4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Dažkārt pēc zarnas </w:t>
            </w:r>
            <w:r>
              <w:rPr>
                <w:sz w:val="24"/>
                <w:szCs w:val="24"/>
              </w:rPr>
              <w:t>rezekcijas</w:t>
            </w:r>
            <w:r>
              <w:rPr>
                <w:sz w:val="24"/>
                <w:szCs w:val="24"/>
              </w:rPr>
              <w:t xml:space="preserve"> rodas </w:t>
            </w:r>
            <w:r>
              <w:rPr>
                <w:b/>
                <w:bCs/>
                <w:sz w:val="24"/>
                <w:szCs w:val="24"/>
              </w:rPr>
              <w:t>laktozes</w:t>
            </w:r>
            <w:r>
              <w:rPr>
                <w:sz w:val="24"/>
                <w:szCs w:val="24"/>
              </w:rPr>
              <w:t xml:space="preserve"> (piena cukura) </w:t>
            </w:r>
            <w:r>
              <w:rPr>
                <w:b/>
                <w:bCs/>
                <w:sz w:val="24"/>
                <w:szCs w:val="24"/>
              </w:rPr>
              <w:t>nepanesīb</w:t>
            </w:r>
            <w:r>
              <w:rPr>
                <w:sz w:val="24"/>
                <w:szCs w:val="24"/>
              </w:rPr>
              <w:t>a. Tā izpaužas ar pastiprinātu gā</w:t>
            </w:r>
            <w:r>
              <w:rPr>
                <w:sz w:val="24"/>
                <w:szCs w:val="24"/>
              </w:rPr>
              <w:t xml:space="preserve">zu veidošanos, sāpēm vēderā un caureju pēc piena produktu lietošanas. Šajā gadījumā lietojiet </w:t>
            </w:r>
            <w:r>
              <w:rPr>
                <w:sz w:val="24"/>
                <w:szCs w:val="24"/>
              </w:rPr>
              <w:t>bezlaktozes</w:t>
            </w:r>
            <w:r>
              <w:rPr>
                <w:sz w:val="24"/>
                <w:szCs w:val="24"/>
              </w:rPr>
              <w:t xml:space="preserve"> piena produktus (arī cietie sieri nesatur laktozi) un piena alternatīvas (mandeļu, auzu u.c. augu bāzes piena alternatīvas). Bet, ja ir saglabāta liel</w:t>
            </w:r>
            <w:r>
              <w:rPr>
                <w:sz w:val="24"/>
                <w:szCs w:val="24"/>
              </w:rPr>
              <w:t xml:space="preserve">ākā daļa no tukšās zarnas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jejunum</w:t>
            </w:r>
            <w:r>
              <w:rPr>
                <w:i/>
                <w:i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un pacientam nav laktozes </w:t>
            </w:r>
            <w:r>
              <w:rPr>
                <w:sz w:val="24"/>
                <w:szCs w:val="24"/>
              </w:rPr>
              <w:t>nepanesamības</w:t>
            </w:r>
            <w:r>
              <w:rPr>
                <w:sz w:val="24"/>
                <w:szCs w:val="24"/>
              </w:rPr>
              <w:t>, ierobežojumi nav  nepieciešami, jo piena produkti ir nozīmīgs kalcija un olbaltumvielu avots.</w:t>
            </w:r>
          </w:p>
          <w:p w:rsidR="000155F4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medikamentu lietošanu caurejas vai aizcietējumu ārstēšanai vienmēr konsultējietie</w:t>
            </w:r>
            <w:r>
              <w:rPr>
                <w:sz w:val="24"/>
                <w:szCs w:val="24"/>
              </w:rPr>
              <w:t>s ar ārstu.</w:t>
            </w:r>
          </w:p>
          <w:p w:rsidR="000155F4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 zaudējat svaru, tad ārstējošais ārsts var Jums nozīmēt  lietot speciālo medicīnisko </w:t>
            </w:r>
            <w:r>
              <w:rPr>
                <w:sz w:val="24"/>
                <w:szCs w:val="24"/>
              </w:rPr>
              <w:t>papilduzturu</w:t>
            </w:r>
            <w:r>
              <w:rPr>
                <w:sz w:val="24"/>
                <w:szCs w:val="24"/>
              </w:rPr>
              <w:t xml:space="preserve"> - rūpnieciski ražotos maisījumus (dzērienu vai pulvera veidā), kas satur galvenās nepieciešamās uzturvielas.</w:t>
            </w:r>
          </w:p>
          <w:p w:rsidR="000155F4">
            <w:pPr>
              <w:pStyle w:val="NormalWeb"/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Nepieciešams arī papildus </w:t>
            </w:r>
            <w:r>
              <w:rPr>
                <w:sz w:val="24"/>
                <w:szCs w:val="24"/>
              </w:rPr>
              <w:t>uzņemt vitamīnus un minerālvielas (kalcijs, A, D,E, B12 vitamīni), ko Jums nozīmēs ārsts.</w:t>
            </w:r>
          </w:p>
          <w:p w:rsidR="000155F4">
            <w:pPr>
              <w:pStyle w:val="NormalWeb"/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rodas  aizcietējumi, caureja, pastiprināti veidojas gāzes, ierobežojiet zemāk minētos produktus:</w:t>
            </w:r>
          </w:p>
        </w:tc>
      </w:tr>
      <w:tr>
        <w:tblPrEx>
          <w:tblW w:w="0" w:type="auto"/>
          <w:tblLook w:val="04A0"/>
        </w:tblPrEx>
        <w:tc>
          <w:tcPr>
            <w:tcW w:w="4928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0155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0155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Produkti, kas var pastiprināt/izraisīt caureju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Produkti, kas var veicināt aizcietējumus:</w:t>
            </w:r>
          </w:p>
        </w:tc>
      </w:tr>
      <w:tr>
        <w:tblPrEx>
          <w:tblW w:w="0" w:type="auto"/>
          <w:tblLook w:val="04A0"/>
        </w:tblPrEx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Saldināti, gāzēti dzērieni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Coca-cola</w:t>
            </w:r>
            <w:r>
              <w:rPr>
                <w:rFonts w:ascii="Times New Roman" w:hAnsi="Times New Roman"/>
                <w:sz w:val="24"/>
                <w:szCs w:val="24"/>
              </w:rPr>
              <w:t>, kvass u.c.)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Saldi ēdieni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Alkohols, kafija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Saldinātāji: </w:t>
            </w:r>
            <w:r>
              <w:rPr>
                <w:rFonts w:ascii="Times New Roman" w:hAnsi="Times New Roman"/>
                <w:sz w:val="24"/>
                <w:szCs w:val="24"/>
              </w:rPr>
              <w:t>sorbitols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mannitols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ksilitols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 ēdieni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Neapstrādāti augļi </w:t>
            </w:r>
            <w:r>
              <w:rPr>
                <w:rFonts w:ascii="Times New Roman" w:hAnsi="Times New Roman"/>
                <w:sz w:val="24"/>
                <w:szCs w:val="24"/>
              </w:rPr>
              <w:t>(plūmes)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Augļu (īpaši plūmju) un dārzeņu sulas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Žāvēti augļi (plūmes, vīģes)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Dārzeņi (kāposti, skābu kāpostu sula,  brokoļi, ziedkāposti, salāti, sīpoli, plūmes)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Cepti, pikanti, trekni ēdieni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Piens</w:t>
            </w:r>
          </w:p>
          <w:p w:rsidR="00015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Klijas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Vārīti kartupeļi, makaroni, rīsi,</w:t>
            </w:r>
          </w:p>
          <w:p w:rsidR="000155F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Baltmaize, cepumi, sausiņi</w:t>
            </w:r>
          </w:p>
          <w:p w:rsidR="000155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Kukurūza</w:t>
            </w:r>
          </w:p>
          <w:p w:rsidR="000155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Cepta gaļa, zivis</w:t>
            </w:r>
          </w:p>
          <w:p w:rsidR="000155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Melleņu sula, sausais sarkanvīns</w:t>
            </w:r>
          </w:p>
          <w:p w:rsidR="000155F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Negatavi banāni</w:t>
            </w:r>
          </w:p>
          <w:p w:rsidR="000155F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Noturēta melnā un zaļā tēja</w:t>
            </w:r>
          </w:p>
          <w:p w:rsidR="000155F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0155F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Produkti, kas bieži rada vēdera uzpūšanos (gāzes):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Produkti, kas kavē vēdera uzpūšanos:</w:t>
            </w:r>
          </w:p>
        </w:tc>
      </w:tr>
      <w:tr>
        <w:tblPrEx>
          <w:tblW w:w="0" w:type="auto"/>
          <w:tblLook w:val="04A0"/>
        </w:tblPrEx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Svaiga maize, </w:t>
            </w:r>
            <w:r>
              <w:rPr>
                <w:rFonts w:ascii="Times New Roman" w:hAnsi="Times New Roman"/>
                <w:sz w:val="24"/>
                <w:szCs w:val="24"/>
              </w:rPr>
              <w:t>pilngraudu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maize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Sīpoli, loki, ķiploki 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Kāpostu dzimtas dārzeņi (brokoļi, kāposti, Briseles kāposti, ziedkāposti, kolrābji), 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žāvēti augļi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Redīsi, bietes, kāļi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Pākšaugi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Olas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Alus un citi alkoholiski un </w:t>
            </w:r>
            <w:r>
              <w:rPr>
                <w:rFonts w:ascii="Times New Roman" w:hAnsi="Times New Roman"/>
                <w:sz w:val="24"/>
                <w:szCs w:val="24"/>
              </w:rPr>
              <w:t>bezalkoholiski,gāzēti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dzērieni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Piena produkti (reizēm)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Stipri, izturētie sieri (</w:t>
            </w:r>
            <w:r>
              <w:rPr>
                <w:rFonts w:ascii="Times New Roman" w:hAnsi="Times New Roman"/>
                <w:sz w:val="24"/>
                <w:szCs w:val="24"/>
              </w:rPr>
              <w:t>Rokfors</w:t>
            </w:r>
            <w:r>
              <w:rPr>
                <w:rFonts w:ascii="Times New Roman" w:hAnsi="Times New Roman"/>
                <w:sz w:val="24"/>
                <w:szCs w:val="24"/>
              </w:rPr>
              <w:t>, zilie sieri utt.)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Rieksti, sēklas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Šokolāde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Karijs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Saldā kukurūza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Svaigs gurķis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Svaigi un žāvēti augļi (melone, bumbieri, rabarberi, plūmes, rozīnes)</w:t>
            </w:r>
          </w:p>
          <w:p w:rsidR="000155F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Dīgsti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155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Jogurts, biezpiens</w:t>
            </w:r>
          </w:p>
          <w:p w:rsidR="000155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Ķimeņu tēja, fenheļa tēja</w:t>
            </w:r>
          </w:p>
          <w:p w:rsidR="000155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Dzērvenes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6"/>
            <w:tcBorders>
              <w:top w:val="single" w:sz="4" w:space="0" w:color="auto"/>
              <w:tl2br w:val="nil"/>
              <w:tr2bl w:val="nil"/>
            </w:tcBorders>
          </w:tcPr>
          <w:p w:rsidR="000155F4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021827" w:rsidP="00021827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Ieteikumi sagatavoti sadarbībā ar Rīgas Stradiņa universitātes asoc. prof.,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P.Stradiņa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Klīniskās universitātes slimnīcas dietoloģi,  Latvijas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Uzturzinātnes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speciālistu biedrības valdes priekšsēdētāju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Dr.Lailu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Meiju. Informatīvajā materiālā iekļautā informā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cija ir saskaņota ar Latvijas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Gastroenterologu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asociāciju un Latvijas Ķirurgu asociāciju.</w:t>
            </w:r>
          </w:p>
          <w:p w:rsidR="000155F4" w:rsidP="00021827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Rekomendācijas ir vispārīgas. Katram cilvēkam ir savas individuālās uztura vajadzības, ņemot vērā slimības smagumu, citas slimības, produktu nepanesību, lietotos medi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kamentus, vecumu, dzimumu, fizisko aktivitāti u.c. faktorus.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Lai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saņemtu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individuālas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rekomendācijas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konsultējaties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dietologu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vai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uztura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speciālistu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01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Izmantotās literatūras avoti: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0155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MedlinePlus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https://medlineplus.gov/ency/patientinstructions/000152.htm</w:t>
              </w:r>
            </w:hyperlink>
          </w:p>
          <w:p w:rsidR="000155F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Memorial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Sloan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Kettering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Cancer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Center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Nutrition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Guidelines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People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Bowel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Syndrome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https://www.mskcc.org/cancer-care/patient-education/nutrition-guidelines-patients-short-bowel-syndrome</w:t>
              </w:r>
            </w:hyperlink>
          </w:p>
          <w:p w:rsidR="000155F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UpToDate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John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 </w:t>
            </w:r>
            <w:r>
              <w:rPr>
                <w:rFonts w:ascii="Times New Roman" w:hAnsi="Times New Roman"/>
                <w:sz w:val="24"/>
                <w:szCs w:val="24"/>
              </w:rPr>
              <w:t>DiBaise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Manageme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bowel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syndrome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adults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https://www-uptodate-com.db.rsu.lv/contents/management-of-the-short-bowel-syndrome-in-adults</w:t>
              </w:r>
            </w:hyperlink>
          </w:p>
          <w:p w:rsidR="0001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ind w:left="660" w:hanging="660" w:hangingChars="3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https://www-uptodate-com.db.rsu.lv/contents/images/PI/61473/PancreasanatomyPI.jpg</w:t>
              </w:r>
            </w:hyperlink>
          </w:p>
        </w:tc>
      </w:tr>
      <w:tr>
        <w:tblPrEx>
          <w:tblW w:w="0" w:type="auto"/>
          <w:tblLook w:val="04A0"/>
        </w:tblPrEx>
        <w:tc>
          <w:tcPr>
            <w:tcW w:w="1936" w:type="dxa"/>
            <w:tcBorders>
              <w:tl2br w:val="nil"/>
              <w:tr2bl w:val="nil"/>
            </w:tcBorders>
          </w:tcPr>
          <w:p w:rsidR="0001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</w:tcPr>
          <w:p w:rsidR="0001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l2br w:val="nil"/>
              <w:tr2bl w:val="nil"/>
            </w:tcBorders>
          </w:tcPr>
          <w:p w:rsidR="0001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936" w:type="dxa"/>
            <w:tcBorders>
              <w:tl2br w:val="nil"/>
              <w:tr2bl w:val="nil"/>
            </w:tcBorders>
          </w:tcPr>
          <w:p w:rsidR="0001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</w:tcPr>
          <w:p w:rsidR="0001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l2br w:val="nil"/>
              <w:tr2bl w:val="nil"/>
            </w:tcBorders>
          </w:tcPr>
          <w:p w:rsidR="00015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936" w:type="dxa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936" w:type="dxa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936" w:type="dxa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936" w:type="dxa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936" w:type="dxa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936" w:type="dxa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l2br w:val="nil"/>
              <w:tr2bl w:val="nil"/>
            </w:tcBorders>
          </w:tcPr>
          <w:p w:rsidR="00015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5F4">
      <w:pPr>
        <w:rPr>
          <w:rFonts w:ascii="Times New Roman" w:hAnsi="Times New Roman"/>
          <w:sz w:val="24"/>
          <w:szCs w:val="24"/>
        </w:rPr>
      </w:pPr>
    </w:p>
    <w:sectPr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ZYXQY N+ News Gothic BT">
    <w:altName w:val="Calibri"/>
    <w:charset w:val="00"/>
    <w:family w:val="swiss"/>
    <w:pitch w:val="default"/>
    <w:sig w:usb0="00000000" w:usb1="00000000" w:usb2="00000000" w:usb3="00000000" w:csb0="00000001" w:csb1="00000000"/>
  </w:font>
  <w:font w:name="Helvetica 55 Roman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55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55F4">
                          <w:pPr>
                            <w:pStyle w:val="Foo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in;height:2in;margin-top:0;margin-left:0;mso-position-horizontal:right;mso-position-horizontal-relative:margin;mso-wrap-distance-bottom:0;mso-wrap-distance-left:9pt;mso-wrap-distance-right:9pt;mso-wrap-distance-top:0;mso-wrap-style:none;position:absolute;v-text-anchor:top;z-index:251658240" filled="f" fillcolor="this" stroked="f" strokeweight="0.5pt">
              <v:textbox style="mso-fit-shape-to-text:t" inset="0,0,0,0">
                <w:txbxContent>
                  <w:p w:rsidR="000155F4">
                    <w:pPr>
                      <w:pStyle w:val="Foo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827" w:rsidRPr="00021827" w:rsidP="00021827">
    <w:pPr>
      <w:pStyle w:val="Header"/>
      <w:jc w:val="right"/>
    </w:pPr>
    <w:r w:rsidRPr="00021827">
      <w:rPr>
        <w:b/>
        <w:bCs/>
      </w:rPr>
      <w:t>Pielikums Nr.1</w:t>
    </w:r>
    <w:r>
      <w:rPr>
        <w:b/>
        <w:bCs/>
      </w:rPr>
      <w:t>3</w:t>
    </w:r>
    <w:r w:rsidRPr="00021827">
      <w:rPr>
        <w:b/>
        <w:bCs/>
      </w:rPr>
      <w:t xml:space="preserve"> Veselības ministrijas </w:t>
    </w:r>
    <w:r w:rsidRPr="00021827">
      <w:rPr>
        <w:b/>
        <w:bCs/>
        <w:noProof/>
      </w:rPr>
      <w:t>Datums skatāms laika zīmogā</w:t>
    </w:r>
    <w:r w:rsidRPr="00021827">
      <w:rPr>
        <w:b/>
        <w:bCs/>
      </w:rPr>
      <w:t xml:space="preserve"> rīkojumam Nr. </w:t>
    </w:r>
    <w:r w:rsidRPr="00021827">
      <w:rPr>
        <w:b/>
        <w:bCs/>
        <w:noProof/>
      </w:rPr>
      <w:t>200</w:t>
    </w:r>
  </w:p>
  <w:p w:rsidR="00021827" w:rsidRPr="00021827" w:rsidP="00021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0683F01"/>
    <w:multiLevelType w:val="multilevel"/>
    <w:tmpl w:val="00683F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38C69C0"/>
    <w:multiLevelType w:val="multilevel"/>
    <w:tmpl w:val="238C6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8317E60"/>
    <w:multiLevelType w:val="multilevel"/>
    <w:tmpl w:val="38317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6F86E58"/>
    <w:multiLevelType w:val="multilevel"/>
    <w:tmpl w:val="46F86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74DA58D"/>
    <w:multiLevelType w:val="singleLevel"/>
    <w:tmpl w:val="474DA58D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="360" w:hangingChars="200"/>
      </w:pPr>
      <w:rPr>
        <w:rFonts w:ascii="Wingdings" w:hAnsi="Wingdings" w:hint="default"/>
      </w:rPr>
    </w:lvl>
  </w:abstractNum>
  <w:abstractNum w:abstractNumId="5" w15:restartNumberingAfterBreak="1">
    <w:nsid w:val="679473E4"/>
    <w:multiLevelType w:val="multilevel"/>
    <w:tmpl w:val="67947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7D61084"/>
    <w:multiLevelType w:val="multilevel"/>
    <w:tmpl w:val="77D61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72A27"/>
    <w:rsid w:val="000155F4"/>
    <w:rsid w:val="00021827"/>
    <w:rsid w:val="00172A27"/>
    <w:rsid w:val="006E084B"/>
    <w:rsid w:val="00852823"/>
    <w:rsid w:val="00872032"/>
    <w:rsid w:val="00AA2111"/>
    <w:rsid w:val="050F6B0A"/>
    <w:rsid w:val="1A3575E0"/>
    <w:rsid w:val="334368B8"/>
    <w:rsid w:val="37D35953"/>
    <w:rsid w:val="43B36716"/>
    <w:rsid w:val="54B0789B"/>
    <w:rsid w:val="645F54B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807CB1-B8C1-415A-96E5-A296C5C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uiPriority="99" w:unhideWhenUsed="1" w:qFormat="1"/>
    <w:lsdException w:name="List Bullet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</w:pBd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">
    <w:name w:val="Saraksta rindkopa"/>
    <w:basedOn w:val="Parasts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rasts">
    <w:name w:val="Parasts"/>
    <w:qFormat/>
    <w:pPr>
      <w:pBdr>
        <w:top w:val="nil"/>
        <w:left w:val="nil"/>
        <w:bottom w:val="nil"/>
        <w:right w:val="nil"/>
      </w:pBdr>
      <w:suppressAutoHyphens/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Noklusjumarindkopasfonts">
    <w:name w:val="Noklusējuma rindkopas fonts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ListTable4-Accent31">
    <w:name w:val="List Table 4 - Accent 31"/>
    <w:basedOn w:val="TableNormal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ps">
    <w:name w:val="hps"/>
    <w:basedOn w:val="DefaultParagraphFont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Pa8">
    <w:name w:val="Pa8"/>
    <w:basedOn w:val="Normal"/>
    <w:next w:val="Normal"/>
    <w:uiPriority w:val="99"/>
    <w:qFormat/>
    <w:pPr>
      <w:autoSpaceDE w:val="0"/>
      <w:autoSpaceDN w:val="0"/>
      <w:adjustRightInd w:val="0"/>
      <w:spacing w:after="0" w:line="201" w:lineRule="atLeast"/>
    </w:pPr>
    <w:rPr>
      <w:rFonts w:ascii="ZYXQY N+ News Gothic BT" w:hAnsi="ZYXQY N+ News Gothic BT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medlineplus.gov/ency/patientinstructions/000152.htm" TargetMode="External" /><Relationship Id="rId7" Type="http://schemas.openxmlformats.org/officeDocument/2006/relationships/hyperlink" Target="https://www.mskcc.org/cancer-care/patient-education/nutrition-guidelines-patients-short-bowel-syndrome" TargetMode="External" /><Relationship Id="rId8" Type="http://schemas.openxmlformats.org/officeDocument/2006/relationships/hyperlink" Target="https://www-uptodate-com.db.rsu.lv/contents/management-of-the-short-bowel-syndrome-in-adults" TargetMode="External" /><Relationship Id="rId9" Type="http://schemas.openxmlformats.org/officeDocument/2006/relationships/hyperlink" Target="https://www-uptodate-com.db.rsu.lv/contents/images/PI/61473/PancreasanatomyPI.jp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6708</Words>
  <Characters>3824</Characters>
  <Application>Microsoft Office Word</Application>
  <DocSecurity>0</DocSecurity>
  <Lines>31</Lines>
  <Paragraphs>21</Paragraphs>
  <ScaleCrop>false</ScaleCrop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</dc:creator>
  <cp:lastModifiedBy>Ieva Apine</cp:lastModifiedBy>
  <cp:revision>5</cp:revision>
  <dcterms:created xsi:type="dcterms:W3CDTF">2020-11-11T07:56:00Z</dcterms:created>
  <dcterms:modified xsi:type="dcterms:W3CDTF">2020-11-13T13:08:00Z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