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7620" w14:textId="77777777" w:rsidR="00B22557" w:rsidRPr="00B338DF" w:rsidRDefault="00B22557" w:rsidP="00B22557">
      <w:pPr>
        <w:spacing w:after="0" w:line="240" w:lineRule="auto"/>
        <w:ind w:left="5760" w:firstLine="720"/>
        <w:rPr>
          <w:rFonts w:ascii="Times New Roman" w:hAnsi="Times New Roman" w:cs="Times New Roman"/>
          <w:i/>
          <w:sz w:val="24"/>
          <w:szCs w:val="24"/>
        </w:rPr>
      </w:pPr>
      <w:r w:rsidRPr="00B338DF">
        <w:rPr>
          <w:rFonts w:ascii="Times New Roman" w:hAnsi="Times New Roman" w:cs="Times New Roman"/>
          <w:i/>
          <w:sz w:val="24"/>
          <w:szCs w:val="24"/>
        </w:rPr>
        <w:t xml:space="preserve">Apstiprināti ar </w:t>
      </w:r>
    </w:p>
    <w:p w14:paraId="46DAACE6" w14:textId="77777777" w:rsidR="00B22557" w:rsidRPr="00B338DF" w:rsidRDefault="00B22557" w:rsidP="00B22557">
      <w:pPr>
        <w:spacing w:after="0" w:line="240" w:lineRule="auto"/>
        <w:ind w:left="5760" w:firstLine="720"/>
        <w:rPr>
          <w:rFonts w:ascii="Times New Roman" w:hAnsi="Times New Roman" w:cs="Times New Roman"/>
          <w:i/>
          <w:sz w:val="24"/>
          <w:szCs w:val="24"/>
        </w:rPr>
      </w:pPr>
      <w:r w:rsidRPr="00B338DF">
        <w:rPr>
          <w:rFonts w:ascii="Times New Roman" w:hAnsi="Times New Roman" w:cs="Times New Roman"/>
          <w:i/>
          <w:sz w:val="24"/>
          <w:szCs w:val="24"/>
        </w:rPr>
        <w:t>LĀB Sertifikācijas padomes</w:t>
      </w:r>
    </w:p>
    <w:p w14:paraId="4E27D662" w14:textId="77777777" w:rsidR="00B22557" w:rsidRPr="00B338DF" w:rsidRDefault="00B22557" w:rsidP="00B22557">
      <w:pPr>
        <w:spacing w:after="0" w:line="240" w:lineRule="auto"/>
        <w:ind w:left="5760" w:firstLine="720"/>
        <w:rPr>
          <w:rFonts w:ascii="Times New Roman" w:hAnsi="Times New Roman" w:cs="Times New Roman"/>
          <w:i/>
          <w:sz w:val="24"/>
          <w:szCs w:val="24"/>
        </w:rPr>
      </w:pPr>
      <w:r w:rsidRPr="00B338DF">
        <w:rPr>
          <w:rFonts w:ascii="Times New Roman" w:hAnsi="Times New Roman" w:cs="Times New Roman"/>
          <w:i/>
          <w:sz w:val="24"/>
          <w:szCs w:val="24"/>
        </w:rPr>
        <w:t>2019. gada 6.novembra lēmumu,</w:t>
      </w:r>
    </w:p>
    <w:p w14:paraId="69585DD8" w14:textId="77777777" w:rsidR="00B22557" w:rsidRPr="00B338DF" w:rsidRDefault="00B22557" w:rsidP="00B22557">
      <w:pPr>
        <w:spacing w:after="0" w:line="240" w:lineRule="auto"/>
        <w:ind w:left="5760" w:firstLine="720"/>
        <w:rPr>
          <w:rFonts w:ascii="Times New Roman" w:hAnsi="Times New Roman" w:cs="Times New Roman"/>
          <w:i/>
          <w:sz w:val="24"/>
          <w:szCs w:val="24"/>
        </w:rPr>
      </w:pPr>
      <w:r w:rsidRPr="00B338DF">
        <w:rPr>
          <w:rFonts w:ascii="Times New Roman" w:hAnsi="Times New Roman" w:cs="Times New Roman"/>
          <w:i/>
          <w:sz w:val="24"/>
          <w:szCs w:val="24"/>
        </w:rPr>
        <w:t>protokola Nr. SP – 2019/11</w:t>
      </w:r>
    </w:p>
    <w:p w14:paraId="7E15050D" w14:textId="77777777" w:rsidR="00B22557" w:rsidRPr="00B22557" w:rsidRDefault="00B22557" w:rsidP="00B22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6FBEE9" w14:textId="77777777" w:rsidR="00B22557" w:rsidRPr="00B22557" w:rsidRDefault="00B22557" w:rsidP="00B22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FB956F" w14:textId="10DD1FEC" w:rsidR="00000000" w:rsidRPr="00B338DF" w:rsidRDefault="00647B81" w:rsidP="00B22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LĀB SK urologa specialitātē</w:t>
      </w:r>
      <w:r w:rsidR="00463568" w:rsidRPr="00B338DF">
        <w:rPr>
          <w:rFonts w:ascii="Times New Roman" w:hAnsi="Times New Roman" w:cs="Times New Roman"/>
          <w:b/>
          <w:sz w:val="28"/>
          <w:szCs w:val="28"/>
        </w:rPr>
        <w:t xml:space="preserve"> sertifikācijas programma.</w:t>
      </w:r>
    </w:p>
    <w:p w14:paraId="22A0A449" w14:textId="77777777" w:rsidR="00463568" w:rsidRPr="00B22557" w:rsidRDefault="00463568" w:rsidP="00B2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B39A6" w14:textId="77777777" w:rsidR="00463568" w:rsidRPr="00B22557" w:rsidRDefault="00463568" w:rsidP="00B22557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57">
        <w:rPr>
          <w:rFonts w:ascii="Times New Roman" w:hAnsi="Times New Roman" w:cs="Times New Roman"/>
          <w:sz w:val="24"/>
          <w:szCs w:val="24"/>
        </w:rPr>
        <w:t>Uroģenitālās sistēmas embrioloģija,anatomija</w:t>
      </w:r>
    </w:p>
    <w:p w14:paraId="1A6F4077" w14:textId="77777777" w:rsidR="00463568" w:rsidRPr="00B22557" w:rsidRDefault="00463568" w:rsidP="00B22557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57">
        <w:rPr>
          <w:rFonts w:ascii="Times New Roman" w:hAnsi="Times New Roman" w:cs="Times New Roman"/>
          <w:sz w:val="24"/>
          <w:szCs w:val="24"/>
        </w:rPr>
        <w:t>Uroģenitālās sistēmas saslimšanu semiotika</w:t>
      </w:r>
    </w:p>
    <w:p w14:paraId="3908E0AF" w14:textId="77777777" w:rsidR="00463568" w:rsidRPr="00B22557" w:rsidRDefault="00463568" w:rsidP="00B22557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57">
        <w:rPr>
          <w:rFonts w:ascii="Times New Roman" w:hAnsi="Times New Roman" w:cs="Times New Roman"/>
          <w:sz w:val="24"/>
          <w:szCs w:val="24"/>
        </w:rPr>
        <w:t>Uroģenitālās sistēmas objektīvā izmeklēšana</w:t>
      </w:r>
    </w:p>
    <w:p w14:paraId="24A0700B" w14:textId="77777777" w:rsidR="00463568" w:rsidRPr="00B22557" w:rsidRDefault="00463568" w:rsidP="00B22557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57">
        <w:rPr>
          <w:rFonts w:ascii="Times New Roman" w:hAnsi="Times New Roman" w:cs="Times New Roman"/>
          <w:sz w:val="24"/>
          <w:szCs w:val="24"/>
        </w:rPr>
        <w:t>Uroģenitālās sistēmas laboratoriskā izmeklēšana</w:t>
      </w:r>
    </w:p>
    <w:p w14:paraId="39F72100" w14:textId="77777777" w:rsidR="00463568" w:rsidRPr="00B22557" w:rsidRDefault="00463568" w:rsidP="00B22557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57">
        <w:rPr>
          <w:rFonts w:ascii="Times New Roman" w:hAnsi="Times New Roman" w:cs="Times New Roman"/>
          <w:sz w:val="24"/>
          <w:szCs w:val="24"/>
        </w:rPr>
        <w:t>Uroģenitālās sistēmas radioloģiskā izmeklēšana : USS,TRUSS,MRI,</w:t>
      </w:r>
      <w:r w:rsidR="00C85854" w:rsidRPr="00B22557">
        <w:rPr>
          <w:rFonts w:ascii="Times New Roman" w:hAnsi="Times New Roman" w:cs="Times New Roman"/>
          <w:sz w:val="24"/>
          <w:szCs w:val="24"/>
        </w:rPr>
        <w:t>CT,Rtg,invazīvāradioloģiskā izmeklēšana, radioizotopiskās izmeklēšanas metodes</w:t>
      </w:r>
    </w:p>
    <w:p w14:paraId="58B9D005" w14:textId="77777777" w:rsidR="00C85854" w:rsidRPr="00B22557" w:rsidRDefault="00C85854" w:rsidP="00B22557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57">
        <w:rPr>
          <w:rFonts w:ascii="Times New Roman" w:hAnsi="Times New Roman" w:cs="Times New Roman"/>
          <w:sz w:val="24"/>
          <w:szCs w:val="24"/>
        </w:rPr>
        <w:t>Retrogrāda urīnceļu izmeklēšana un operācijas</w:t>
      </w:r>
    </w:p>
    <w:p w14:paraId="6B6E338B" w14:textId="77777777" w:rsidR="00C85854" w:rsidRPr="00B22557" w:rsidRDefault="00C85854" w:rsidP="00B22557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57">
        <w:rPr>
          <w:rFonts w:ascii="Times New Roman" w:hAnsi="Times New Roman" w:cs="Times New Roman"/>
          <w:sz w:val="24"/>
          <w:szCs w:val="24"/>
        </w:rPr>
        <w:t>Perkutānaendouroloģija: indikācijas,metodes</w:t>
      </w:r>
    </w:p>
    <w:p w14:paraId="7DBC52A1" w14:textId="77777777" w:rsidR="00C85854" w:rsidRPr="00B22557" w:rsidRDefault="00C85854" w:rsidP="00B22557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57">
        <w:rPr>
          <w:rFonts w:ascii="Times New Roman" w:hAnsi="Times New Roman" w:cs="Times New Roman"/>
          <w:sz w:val="24"/>
          <w:szCs w:val="24"/>
        </w:rPr>
        <w:t>Laparoskopiska ķirurģija uroloģijā: indikācijas,</w:t>
      </w:r>
      <w:r w:rsidR="00186B6A" w:rsidRPr="00B22557">
        <w:rPr>
          <w:rFonts w:ascii="Times New Roman" w:hAnsi="Times New Roman" w:cs="Times New Roman"/>
          <w:sz w:val="24"/>
          <w:szCs w:val="24"/>
        </w:rPr>
        <w:t>komplikācijas ,</w:t>
      </w:r>
      <w:r w:rsidRPr="00B22557">
        <w:rPr>
          <w:rFonts w:ascii="Times New Roman" w:hAnsi="Times New Roman" w:cs="Times New Roman"/>
          <w:sz w:val="24"/>
          <w:szCs w:val="24"/>
        </w:rPr>
        <w:t>meto</w:t>
      </w:r>
      <w:r w:rsidR="00186B6A" w:rsidRPr="00B22557">
        <w:rPr>
          <w:rFonts w:ascii="Times New Roman" w:hAnsi="Times New Roman" w:cs="Times New Roman"/>
          <w:sz w:val="24"/>
          <w:szCs w:val="24"/>
        </w:rPr>
        <w:t>žu salīdzinājums</w:t>
      </w:r>
    </w:p>
    <w:p w14:paraId="3CBAE37F" w14:textId="77777777" w:rsidR="00463568" w:rsidRPr="00B22557" w:rsidRDefault="00186B6A" w:rsidP="00B22557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57">
        <w:rPr>
          <w:rFonts w:ascii="Times New Roman" w:hAnsi="Times New Roman" w:cs="Times New Roman"/>
          <w:sz w:val="24"/>
          <w:szCs w:val="24"/>
        </w:rPr>
        <w:t>Obstruktīvauropātija : etioloģija,patoģenēze,izmeklēšana , ārstēšana un prognoze</w:t>
      </w:r>
    </w:p>
    <w:p w14:paraId="68B66676" w14:textId="77777777" w:rsidR="00186B6A" w:rsidRPr="00B22557" w:rsidRDefault="00186B6A" w:rsidP="00B22557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57">
        <w:rPr>
          <w:rFonts w:ascii="Times New Roman" w:hAnsi="Times New Roman" w:cs="Times New Roman"/>
          <w:sz w:val="24"/>
          <w:szCs w:val="24"/>
        </w:rPr>
        <w:t xml:space="preserve">Iedzimtas nieru un urīnizvadceļu anomālijas: Vezikoureterālsreflukss , </w:t>
      </w:r>
      <w:r w:rsidR="002D1AC8" w:rsidRPr="00B22557">
        <w:rPr>
          <w:rFonts w:ascii="Times New Roman" w:hAnsi="Times New Roman" w:cs="Times New Roman"/>
          <w:sz w:val="24"/>
          <w:szCs w:val="24"/>
        </w:rPr>
        <w:t>pieloureterālā</w:t>
      </w:r>
      <w:r w:rsidRPr="00B22557">
        <w:rPr>
          <w:rFonts w:ascii="Times New Roman" w:hAnsi="Times New Roman" w:cs="Times New Roman"/>
          <w:sz w:val="24"/>
          <w:szCs w:val="24"/>
        </w:rPr>
        <w:t xml:space="preserve"> segmenta patoloģija,nieru iedzimtas patoloģijas,</w:t>
      </w:r>
      <w:r w:rsidR="002D1AC8" w:rsidRPr="00B22557">
        <w:rPr>
          <w:rFonts w:ascii="Times New Roman" w:hAnsi="Times New Roman" w:cs="Times New Roman"/>
          <w:sz w:val="24"/>
          <w:szCs w:val="24"/>
        </w:rPr>
        <w:t>hipospādija,epispādija,fimoze,</w:t>
      </w:r>
      <w:r w:rsidR="00CE5A4D" w:rsidRPr="00B22557">
        <w:rPr>
          <w:rFonts w:ascii="Times New Roman" w:hAnsi="Times New Roman" w:cs="Times New Roman"/>
          <w:sz w:val="24"/>
          <w:szCs w:val="24"/>
        </w:rPr>
        <w:t xml:space="preserve">parafimoze,sēklsaites elementu slimības, </w:t>
      </w:r>
      <w:r w:rsidR="002D1AC8" w:rsidRPr="00B22557">
        <w:rPr>
          <w:rFonts w:ascii="Times New Roman" w:hAnsi="Times New Roman" w:cs="Times New Roman"/>
          <w:sz w:val="24"/>
          <w:szCs w:val="24"/>
        </w:rPr>
        <w:t>urīnpūšļa ekstrofija,nenoslīdējis sēklinieks</w:t>
      </w:r>
    </w:p>
    <w:p w14:paraId="3885A937" w14:textId="77777777" w:rsidR="002D1AC8" w:rsidRPr="00B22557" w:rsidRDefault="002D1AC8" w:rsidP="00B22557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57">
        <w:rPr>
          <w:rFonts w:ascii="Times New Roman" w:hAnsi="Times New Roman" w:cs="Times New Roman"/>
          <w:sz w:val="24"/>
          <w:szCs w:val="24"/>
        </w:rPr>
        <w:t>Uroģenitālās sistēmas komplicētas un nekomplicētas infekcijas slimības: Pielonefrīt,cistīts,prostatīts,orhoepididimīts,balanopostīts,urosepse.</w:t>
      </w:r>
    </w:p>
    <w:p w14:paraId="7AB96F7B" w14:textId="77777777" w:rsidR="002D1AC8" w:rsidRPr="00B22557" w:rsidRDefault="002D1AC8" w:rsidP="00B22557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57">
        <w:rPr>
          <w:rFonts w:ascii="Times New Roman" w:hAnsi="Times New Roman" w:cs="Times New Roman"/>
          <w:sz w:val="24"/>
          <w:szCs w:val="24"/>
        </w:rPr>
        <w:t>Specifiskās uroģenitālās sistēmas infekciju slimības, seksuāli transmisīvās slimības</w:t>
      </w:r>
    </w:p>
    <w:p w14:paraId="36F6ACFB" w14:textId="77777777" w:rsidR="00463568" w:rsidRPr="00B22557" w:rsidRDefault="002D1AC8" w:rsidP="00B22557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57">
        <w:rPr>
          <w:rFonts w:ascii="Times New Roman" w:hAnsi="Times New Roman" w:cs="Times New Roman"/>
          <w:sz w:val="24"/>
          <w:szCs w:val="24"/>
        </w:rPr>
        <w:t>Nierakmeņu slimība: etioloģija,patoģenēze,izmeklēšana un ārstešanas metodes.Ārstēšanas metožu salīdzināšana</w:t>
      </w:r>
    </w:p>
    <w:p w14:paraId="3056F738" w14:textId="77777777" w:rsidR="002D1AC8" w:rsidRPr="00B22557" w:rsidRDefault="002D1AC8" w:rsidP="00B22557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57">
        <w:rPr>
          <w:rFonts w:ascii="Times New Roman" w:hAnsi="Times New Roman" w:cs="Times New Roman"/>
          <w:sz w:val="24"/>
          <w:szCs w:val="24"/>
        </w:rPr>
        <w:t>Uroģenitālās sistēmas slēgtas un vaļējas traumas: nieru,</w:t>
      </w:r>
      <w:r w:rsidR="00A26D9A" w:rsidRPr="00B22557">
        <w:rPr>
          <w:rFonts w:ascii="Times New Roman" w:hAnsi="Times New Roman" w:cs="Times New Roman"/>
          <w:sz w:val="24"/>
          <w:szCs w:val="24"/>
        </w:rPr>
        <w:t xml:space="preserve"> </w:t>
      </w:r>
      <w:r w:rsidRPr="00B22557">
        <w:rPr>
          <w:rFonts w:ascii="Times New Roman" w:hAnsi="Times New Roman" w:cs="Times New Roman"/>
          <w:sz w:val="24"/>
          <w:szCs w:val="24"/>
        </w:rPr>
        <w:t>ur</w:t>
      </w:r>
      <w:r w:rsidR="00A26D9A" w:rsidRPr="00B22557">
        <w:rPr>
          <w:rFonts w:ascii="Times New Roman" w:hAnsi="Times New Roman" w:cs="Times New Roman"/>
          <w:sz w:val="24"/>
          <w:szCs w:val="24"/>
        </w:rPr>
        <w:t>ē</w:t>
      </w:r>
      <w:r w:rsidRPr="00B22557">
        <w:rPr>
          <w:rFonts w:ascii="Times New Roman" w:hAnsi="Times New Roman" w:cs="Times New Roman"/>
          <w:sz w:val="24"/>
          <w:szCs w:val="24"/>
        </w:rPr>
        <w:t>teru,</w:t>
      </w:r>
      <w:r w:rsidR="00A26D9A" w:rsidRPr="00B22557">
        <w:rPr>
          <w:rFonts w:ascii="Times New Roman" w:hAnsi="Times New Roman" w:cs="Times New Roman"/>
          <w:sz w:val="24"/>
          <w:szCs w:val="24"/>
        </w:rPr>
        <w:t xml:space="preserve"> </w:t>
      </w:r>
      <w:r w:rsidRPr="00B22557">
        <w:rPr>
          <w:rFonts w:ascii="Times New Roman" w:hAnsi="Times New Roman" w:cs="Times New Roman"/>
          <w:sz w:val="24"/>
          <w:szCs w:val="24"/>
        </w:rPr>
        <w:t>urīnpūšļa,</w:t>
      </w:r>
      <w:r w:rsidR="00A26D9A" w:rsidRPr="00B22557">
        <w:rPr>
          <w:rFonts w:ascii="Times New Roman" w:hAnsi="Times New Roman" w:cs="Times New Roman"/>
          <w:sz w:val="24"/>
          <w:szCs w:val="24"/>
        </w:rPr>
        <w:t xml:space="preserve"> </w:t>
      </w:r>
      <w:r w:rsidRPr="00B22557">
        <w:rPr>
          <w:rFonts w:ascii="Times New Roman" w:hAnsi="Times New Roman" w:cs="Times New Roman"/>
          <w:sz w:val="24"/>
          <w:szCs w:val="24"/>
        </w:rPr>
        <w:t>prostatas,</w:t>
      </w:r>
      <w:r w:rsidR="00A26D9A" w:rsidRPr="00B22557">
        <w:rPr>
          <w:rFonts w:ascii="Times New Roman" w:hAnsi="Times New Roman" w:cs="Times New Roman"/>
          <w:sz w:val="24"/>
          <w:szCs w:val="24"/>
        </w:rPr>
        <w:t xml:space="preserve"> </w:t>
      </w:r>
      <w:r w:rsidRPr="00B22557">
        <w:rPr>
          <w:rFonts w:ascii="Times New Roman" w:hAnsi="Times New Roman" w:cs="Times New Roman"/>
          <w:sz w:val="24"/>
          <w:szCs w:val="24"/>
        </w:rPr>
        <w:t>sēklinieku,</w:t>
      </w:r>
      <w:r w:rsidR="00A26D9A" w:rsidRPr="00B22557">
        <w:rPr>
          <w:rFonts w:ascii="Times New Roman" w:hAnsi="Times New Roman" w:cs="Times New Roman"/>
          <w:sz w:val="24"/>
          <w:szCs w:val="24"/>
        </w:rPr>
        <w:t xml:space="preserve"> </w:t>
      </w:r>
      <w:r w:rsidRPr="00B22557">
        <w:rPr>
          <w:rFonts w:ascii="Times New Roman" w:hAnsi="Times New Roman" w:cs="Times New Roman"/>
          <w:sz w:val="24"/>
          <w:szCs w:val="24"/>
        </w:rPr>
        <w:t>ur</w:t>
      </w:r>
      <w:r w:rsidR="00F5758F" w:rsidRPr="00B22557">
        <w:rPr>
          <w:rFonts w:ascii="Times New Roman" w:hAnsi="Times New Roman" w:cs="Times New Roman"/>
          <w:sz w:val="24"/>
          <w:szCs w:val="24"/>
        </w:rPr>
        <w:t>etras</w:t>
      </w:r>
    </w:p>
    <w:p w14:paraId="1356F79D" w14:textId="77777777" w:rsidR="00C751DB" w:rsidRPr="00B22557" w:rsidRDefault="00C751DB" w:rsidP="00B22557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57">
        <w:rPr>
          <w:rFonts w:ascii="Times New Roman" w:hAnsi="Times New Roman" w:cs="Times New Roman"/>
          <w:sz w:val="24"/>
          <w:szCs w:val="24"/>
        </w:rPr>
        <w:t>Uroģenitālās sistēmas audzēju klassifikācija</w:t>
      </w:r>
    </w:p>
    <w:p w14:paraId="0A65F477" w14:textId="77777777" w:rsidR="00CE5A4D" w:rsidRPr="00B22557" w:rsidRDefault="00CE5A4D" w:rsidP="00B22557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57">
        <w:rPr>
          <w:rFonts w:ascii="Times New Roman" w:hAnsi="Times New Roman" w:cs="Times New Roman"/>
          <w:sz w:val="24"/>
          <w:szCs w:val="24"/>
        </w:rPr>
        <w:t>Uroģenitālās sistēmas audzēju imunoloģija un imunoterapija</w:t>
      </w:r>
    </w:p>
    <w:p w14:paraId="04603614" w14:textId="77777777" w:rsidR="00C751DB" w:rsidRPr="00B22557" w:rsidRDefault="00C751DB" w:rsidP="00B22557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57">
        <w:rPr>
          <w:rFonts w:ascii="Times New Roman" w:hAnsi="Times New Roman" w:cs="Times New Roman"/>
          <w:sz w:val="24"/>
          <w:szCs w:val="24"/>
        </w:rPr>
        <w:t>Uroģenitālās sistēmas audzēju medikamentozo un ķirurģisko ārstēšanas metožu raksturojums</w:t>
      </w:r>
    </w:p>
    <w:p w14:paraId="7A073D42" w14:textId="77777777" w:rsidR="00463568" w:rsidRPr="00B22557" w:rsidRDefault="00CE5A4D" w:rsidP="00B22557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57">
        <w:rPr>
          <w:rFonts w:ascii="Times New Roman" w:hAnsi="Times New Roman" w:cs="Times New Roman"/>
          <w:sz w:val="24"/>
          <w:szCs w:val="24"/>
        </w:rPr>
        <w:t>Uroteliāli audzēji :nieru bļodiņas,ureteru,urīnpūšļa</w:t>
      </w:r>
    </w:p>
    <w:p w14:paraId="02C5FC53" w14:textId="77777777" w:rsidR="00463568" w:rsidRPr="00B22557" w:rsidRDefault="00CE5A4D" w:rsidP="00B22557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57">
        <w:rPr>
          <w:rFonts w:ascii="Times New Roman" w:hAnsi="Times New Roman" w:cs="Times New Roman"/>
          <w:sz w:val="24"/>
          <w:szCs w:val="24"/>
        </w:rPr>
        <w:t>Nieru parenhīmas labdabīgi un ļaundabīgi audzēji</w:t>
      </w:r>
    </w:p>
    <w:p w14:paraId="006DACA3" w14:textId="77777777" w:rsidR="00CE5A4D" w:rsidRPr="00B22557" w:rsidRDefault="00CE5A4D" w:rsidP="00B22557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57">
        <w:rPr>
          <w:rFonts w:ascii="Times New Roman" w:hAnsi="Times New Roman" w:cs="Times New Roman"/>
          <w:sz w:val="24"/>
          <w:szCs w:val="24"/>
        </w:rPr>
        <w:t>Priekšdziedzera</w:t>
      </w:r>
      <w:r w:rsidR="00C751DB" w:rsidRPr="00B22557">
        <w:rPr>
          <w:rFonts w:ascii="Times New Roman" w:hAnsi="Times New Roman" w:cs="Times New Roman"/>
          <w:sz w:val="24"/>
          <w:szCs w:val="24"/>
        </w:rPr>
        <w:t xml:space="preserve"> </w:t>
      </w:r>
      <w:r w:rsidR="00E2501B" w:rsidRPr="00B22557">
        <w:rPr>
          <w:rFonts w:ascii="Times New Roman" w:hAnsi="Times New Roman" w:cs="Times New Roman"/>
          <w:sz w:val="24"/>
          <w:szCs w:val="24"/>
        </w:rPr>
        <w:t>neoplastiskas saslimšanas</w:t>
      </w:r>
    </w:p>
    <w:p w14:paraId="0A848A57" w14:textId="77777777" w:rsidR="00E2501B" w:rsidRPr="00B22557" w:rsidRDefault="00E2501B" w:rsidP="00B22557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57">
        <w:rPr>
          <w:rFonts w:ascii="Times New Roman" w:hAnsi="Times New Roman" w:cs="Times New Roman"/>
          <w:sz w:val="24"/>
          <w:szCs w:val="24"/>
        </w:rPr>
        <w:t>Dzimumorgānu audzēji</w:t>
      </w:r>
    </w:p>
    <w:p w14:paraId="19BBDAA8" w14:textId="77777777" w:rsidR="00E2501B" w:rsidRPr="00B22557" w:rsidRDefault="00E2501B" w:rsidP="00B22557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57">
        <w:rPr>
          <w:rFonts w:ascii="Times New Roman" w:hAnsi="Times New Roman" w:cs="Times New Roman"/>
          <w:sz w:val="24"/>
          <w:szCs w:val="24"/>
        </w:rPr>
        <w:t>Urīnpūšļa substitūc</w:t>
      </w:r>
      <w:r w:rsidR="00F5758F" w:rsidRPr="00B22557">
        <w:rPr>
          <w:rFonts w:ascii="Times New Roman" w:hAnsi="Times New Roman" w:cs="Times New Roman"/>
          <w:sz w:val="24"/>
          <w:szCs w:val="24"/>
        </w:rPr>
        <w:t>i</w:t>
      </w:r>
      <w:r w:rsidRPr="00B22557">
        <w:rPr>
          <w:rFonts w:ascii="Times New Roman" w:hAnsi="Times New Roman" w:cs="Times New Roman"/>
          <w:sz w:val="24"/>
          <w:szCs w:val="24"/>
        </w:rPr>
        <w:t>ja un derivācijas metodes</w:t>
      </w:r>
    </w:p>
    <w:p w14:paraId="56C02871" w14:textId="77777777" w:rsidR="00E2501B" w:rsidRPr="00B22557" w:rsidRDefault="00E2501B" w:rsidP="00B22557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57">
        <w:rPr>
          <w:rFonts w:ascii="Times New Roman" w:hAnsi="Times New Roman" w:cs="Times New Roman"/>
          <w:sz w:val="24"/>
          <w:szCs w:val="24"/>
        </w:rPr>
        <w:t>Uroģenitālās sistēmas audzēju ķimioterapija</w:t>
      </w:r>
    </w:p>
    <w:p w14:paraId="24DC590A" w14:textId="77777777" w:rsidR="00E2501B" w:rsidRPr="00B22557" w:rsidRDefault="00E2501B" w:rsidP="00B22557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57">
        <w:rPr>
          <w:rFonts w:ascii="Times New Roman" w:hAnsi="Times New Roman" w:cs="Times New Roman"/>
          <w:sz w:val="24"/>
          <w:szCs w:val="24"/>
        </w:rPr>
        <w:t>Uroģenitālās sistēmas audzēju staru terapija</w:t>
      </w:r>
    </w:p>
    <w:p w14:paraId="3450A675" w14:textId="77777777" w:rsidR="00E2501B" w:rsidRPr="00B22557" w:rsidRDefault="00E2501B" w:rsidP="00B22557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57">
        <w:rPr>
          <w:rFonts w:ascii="Times New Roman" w:hAnsi="Times New Roman" w:cs="Times New Roman"/>
          <w:sz w:val="24"/>
          <w:szCs w:val="24"/>
        </w:rPr>
        <w:t>Neirogēni urīnpūšļa darbības traucējumi, urodinamiska izmeklēšana</w:t>
      </w:r>
    </w:p>
    <w:p w14:paraId="150E9778" w14:textId="77777777" w:rsidR="00E2501B" w:rsidRPr="00B22557" w:rsidRDefault="00E2501B" w:rsidP="00B22557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57">
        <w:rPr>
          <w:rFonts w:ascii="Times New Roman" w:hAnsi="Times New Roman" w:cs="Times New Roman"/>
          <w:sz w:val="24"/>
          <w:szCs w:val="24"/>
        </w:rPr>
        <w:t>Urīna nesaturēšana: veidi, etioloģija, patoģenēze, izmeklēšana, ārstēšana</w:t>
      </w:r>
    </w:p>
    <w:p w14:paraId="6BD59C93" w14:textId="77777777" w:rsidR="00E2501B" w:rsidRPr="00B22557" w:rsidRDefault="00E2501B" w:rsidP="00B22557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57">
        <w:rPr>
          <w:rFonts w:ascii="Times New Roman" w:hAnsi="Times New Roman" w:cs="Times New Roman"/>
          <w:sz w:val="24"/>
          <w:szCs w:val="24"/>
        </w:rPr>
        <w:t>Virsnieru simības</w:t>
      </w:r>
    </w:p>
    <w:p w14:paraId="7CE4A644" w14:textId="77777777" w:rsidR="00E2501B" w:rsidRPr="00B22557" w:rsidRDefault="00E2501B" w:rsidP="00B22557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57">
        <w:rPr>
          <w:rFonts w:ascii="Times New Roman" w:hAnsi="Times New Roman" w:cs="Times New Roman"/>
          <w:sz w:val="24"/>
          <w:szCs w:val="24"/>
        </w:rPr>
        <w:t>Akūta nieru mazspēja</w:t>
      </w:r>
      <w:r w:rsidR="005D7B7D" w:rsidRPr="00B22557">
        <w:rPr>
          <w:rFonts w:ascii="Times New Roman" w:hAnsi="Times New Roman" w:cs="Times New Roman"/>
          <w:sz w:val="24"/>
          <w:szCs w:val="24"/>
        </w:rPr>
        <w:t>: etioloģija,patoģenēze,diagnostika,ārstēšana</w:t>
      </w:r>
    </w:p>
    <w:p w14:paraId="6ACB6A13" w14:textId="77777777" w:rsidR="005D7B7D" w:rsidRPr="00B22557" w:rsidRDefault="005D7B7D" w:rsidP="00B22557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57">
        <w:rPr>
          <w:rFonts w:ascii="Times New Roman" w:hAnsi="Times New Roman" w:cs="Times New Roman"/>
          <w:sz w:val="24"/>
          <w:szCs w:val="24"/>
        </w:rPr>
        <w:t>Hroniska nieru mazspēja :etioloģija,patoģenēze,diagnostika,ārstēšana,dialīze,transplantācija</w:t>
      </w:r>
    </w:p>
    <w:p w14:paraId="18B13FFC" w14:textId="77777777" w:rsidR="00E2501B" w:rsidRPr="00B22557" w:rsidRDefault="005D7B7D" w:rsidP="00B22557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57">
        <w:rPr>
          <w:rFonts w:ascii="Times New Roman" w:hAnsi="Times New Roman" w:cs="Times New Roman"/>
          <w:sz w:val="24"/>
          <w:szCs w:val="24"/>
        </w:rPr>
        <w:t>Dzimumorgānu ādas slimības</w:t>
      </w:r>
    </w:p>
    <w:p w14:paraId="62F05B5F" w14:textId="77777777" w:rsidR="005D7B7D" w:rsidRPr="00B22557" w:rsidRDefault="005D7B7D" w:rsidP="00B22557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57">
        <w:rPr>
          <w:rFonts w:ascii="Times New Roman" w:hAnsi="Times New Roman" w:cs="Times New Roman"/>
          <w:sz w:val="24"/>
          <w:szCs w:val="24"/>
        </w:rPr>
        <w:t>Vīriešu neauglība</w:t>
      </w:r>
      <w:r w:rsidR="00BF52E0" w:rsidRPr="00B22557">
        <w:rPr>
          <w:rFonts w:ascii="Times New Roman" w:hAnsi="Times New Roman" w:cs="Times New Roman"/>
          <w:sz w:val="24"/>
          <w:szCs w:val="24"/>
        </w:rPr>
        <w:t>, erektīlā disfunkcija, Peironi</w:t>
      </w:r>
      <w:r w:rsidR="00A26D9A" w:rsidRPr="00B22557">
        <w:rPr>
          <w:rFonts w:ascii="Times New Roman" w:hAnsi="Times New Roman" w:cs="Times New Roman"/>
          <w:sz w:val="24"/>
          <w:szCs w:val="24"/>
        </w:rPr>
        <w:t xml:space="preserve"> </w:t>
      </w:r>
      <w:r w:rsidR="00BF52E0" w:rsidRPr="00B22557">
        <w:rPr>
          <w:rFonts w:ascii="Times New Roman" w:hAnsi="Times New Roman" w:cs="Times New Roman"/>
          <w:sz w:val="24"/>
          <w:szCs w:val="24"/>
        </w:rPr>
        <w:t>slimība</w:t>
      </w:r>
      <w:r w:rsidR="00F5758F" w:rsidRPr="00B22557">
        <w:rPr>
          <w:rFonts w:ascii="Times New Roman" w:hAnsi="Times New Roman" w:cs="Times New Roman"/>
          <w:sz w:val="24"/>
          <w:szCs w:val="24"/>
        </w:rPr>
        <w:t>,</w:t>
      </w:r>
      <w:r w:rsidR="00A26D9A" w:rsidRPr="00B22557">
        <w:rPr>
          <w:rFonts w:ascii="Times New Roman" w:hAnsi="Times New Roman" w:cs="Times New Roman"/>
          <w:sz w:val="24"/>
          <w:szCs w:val="24"/>
        </w:rPr>
        <w:t xml:space="preserve"> </w:t>
      </w:r>
      <w:r w:rsidR="00F5758F" w:rsidRPr="00B22557">
        <w:rPr>
          <w:rFonts w:ascii="Times New Roman" w:hAnsi="Times New Roman" w:cs="Times New Roman"/>
          <w:sz w:val="24"/>
          <w:szCs w:val="24"/>
        </w:rPr>
        <w:t xml:space="preserve">priapisms- to </w:t>
      </w:r>
      <w:r w:rsidRPr="00B22557">
        <w:rPr>
          <w:rFonts w:ascii="Times New Roman" w:hAnsi="Times New Roman" w:cs="Times New Roman"/>
          <w:sz w:val="24"/>
          <w:szCs w:val="24"/>
        </w:rPr>
        <w:t xml:space="preserve"> etioloģija,</w:t>
      </w:r>
      <w:r w:rsidR="00A26D9A" w:rsidRPr="00B22557">
        <w:rPr>
          <w:rFonts w:ascii="Times New Roman" w:hAnsi="Times New Roman" w:cs="Times New Roman"/>
          <w:sz w:val="24"/>
          <w:szCs w:val="24"/>
        </w:rPr>
        <w:t xml:space="preserve"> </w:t>
      </w:r>
      <w:r w:rsidRPr="00B22557">
        <w:rPr>
          <w:rFonts w:ascii="Times New Roman" w:hAnsi="Times New Roman" w:cs="Times New Roman"/>
          <w:sz w:val="24"/>
          <w:szCs w:val="24"/>
        </w:rPr>
        <w:t>patoģenēze,</w:t>
      </w:r>
      <w:r w:rsidR="00A26D9A" w:rsidRPr="00B22557">
        <w:rPr>
          <w:rFonts w:ascii="Times New Roman" w:hAnsi="Times New Roman" w:cs="Times New Roman"/>
          <w:sz w:val="24"/>
          <w:szCs w:val="24"/>
        </w:rPr>
        <w:t xml:space="preserve"> </w:t>
      </w:r>
      <w:r w:rsidRPr="00B22557">
        <w:rPr>
          <w:rFonts w:ascii="Times New Roman" w:hAnsi="Times New Roman" w:cs="Times New Roman"/>
          <w:sz w:val="24"/>
          <w:szCs w:val="24"/>
        </w:rPr>
        <w:t>diagnostika,</w:t>
      </w:r>
      <w:r w:rsidR="00A26D9A" w:rsidRPr="00B22557">
        <w:rPr>
          <w:rFonts w:ascii="Times New Roman" w:hAnsi="Times New Roman" w:cs="Times New Roman"/>
          <w:sz w:val="24"/>
          <w:szCs w:val="24"/>
        </w:rPr>
        <w:t xml:space="preserve"> </w:t>
      </w:r>
      <w:r w:rsidRPr="00B22557">
        <w:rPr>
          <w:rFonts w:ascii="Times New Roman" w:hAnsi="Times New Roman" w:cs="Times New Roman"/>
          <w:sz w:val="24"/>
          <w:szCs w:val="24"/>
        </w:rPr>
        <w:t>ārstēšana</w:t>
      </w:r>
    </w:p>
    <w:p w14:paraId="39EE2786" w14:textId="77777777" w:rsidR="005D7B7D" w:rsidRPr="00B22557" w:rsidRDefault="005D7B7D" w:rsidP="00B22557">
      <w:pPr>
        <w:pStyle w:val="Sarakstarindkopa"/>
        <w:spacing w:after="0" w:line="240" w:lineRule="auto"/>
        <w:rPr>
          <w:rFonts w:ascii="Times New Roman" w:hAnsi="Times New Roman" w:cs="Times New Roman"/>
        </w:rPr>
      </w:pPr>
    </w:p>
    <w:sectPr w:rsidR="005D7B7D" w:rsidRPr="00B22557" w:rsidSect="00331D17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E2133"/>
    <w:multiLevelType w:val="hybridMultilevel"/>
    <w:tmpl w:val="1D78ED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78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ABA"/>
    <w:rsid w:val="00036744"/>
    <w:rsid w:val="00186B6A"/>
    <w:rsid w:val="002D1AC8"/>
    <w:rsid w:val="00331D17"/>
    <w:rsid w:val="00386702"/>
    <w:rsid w:val="00407005"/>
    <w:rsid w:val="00463568"/>
    <w:rsid w:val="005D7B7D"/>
    <w:rsid w:val="00644C56"/>
    <w:rsid w:val="00647B81"/>
    <w:rsid w:val="00A26D9A"/>
    <w:rsid w:val="00B22557"/>
    <w:rsid w:val="00B338DF"/>
    <w:rsid w:val="00BF52E0"/>
    <w:rsid w:val="00C751DB"/>
    <w:rsid w:val="00C85854"/>
    <w:rsid w:val="00CE5A4D"/>
    <w:rsid w:val="00E2501B"/>
    <w:rsid w:val="00F5758F"/>
    <w:rsid w:val="00FD1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5C3D"/>
  <w15:docId w15:val="{3E03F836-0598-411D-A576-81D1B1AE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674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6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Baumanis</dc:creator>
  <cp:keywords/>
  <dc:description/>
  <cp:lastModifiedBy>Elita Vīksne</cp:lastModifiedBy>
  <cp:revision>10</cp:revision>
  <dcterms:created xsi:type="dcterms:W3CDTF">2018-09-30T12:57:00Z</dcterms:created>
  <dcterms:modified xsi:type="dcterms:W3CDTF">2024-03-01T11:22:00Z</dcterms:modified>
</cp:coreProperties>
</file>