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7620" w14:textId="77777777" w:rsidR="00B22557" w:rsidRPr="00B338DF" w:rsidRDefault="00B22557" w:rsidP="00B22557">
      <w:pPr>
        <w:spacing w:after="0" w:line="240" w:lineRule="auto"/>
        <w:ind w:left="5760" w:firstLine="720"/>
        <w:rPr>
          <w:rFonts w:ascii="Times New Roman" w:hAnsi="Times New Roman" w:cs="Times New Roman"/>
          <w:i/>
          <w:sz w:val="24"/>
          <w:szCs w:val="24"/>
        </w:rPr>
      </w:pPr>
      <w:r w:rsidRPr="00B338DF">
        <w:rPr>
          <w:rFonts w:ascii="Times New Roman" w:hAnsi="Times New Roman" w:cs="Times New Roman"/>
          <w:i/>
          <w:sz w:val="24"/>
          <w:szCs w:val="24"/>
        </w:rPr>
        <w:t xml:space="preserve">Apstiprināti ar </w:t>
      </w:r>
    </w:p>
    <w:p w14:paraId="46DAACE6" w14:textId="77777777" w:rsidR="00B22557" w:rsidRPr="00B338DF" w:rsidRDefault="00B22557" w:rsidP="00B22557">
      <w:pPr>
        <w:spacing w:after="0" w:line="240" w:lineRule="auto"/>
        <w:ind w:left="5760" w:firstLine="720"/>
        <w:rPr>
          <w:rFonts w:ascii="Times New Roman" w:hAnsi="Times New Roman" w:cs="Times New Roman"/>
          <w:i/>
          <w:sz w:val="24"/>
          <w:szCs w:val="24"/>
        </w:rPr>
      </w:pPr>
      <w:r w:rsidRPr="00B338DF">
        <w:rPr>
          <w:rFonts w:ascii="Times New Roman" w:hAnsi="Times New Roman" w:cs="Times New Roman"/>
          <w:i/>
          <w:sz w:val="24"/>
          <w:szCs w:val="24"/>
        </w:rPr>
        <w:t>LĀB Sertifikācijas padomes</w:t>
      </w:r>
    </w:p>
    <w:p w14:paraId="4E27D662" w14:textId="77777777" w:rsidR="00B22557" w:rsidRPr="00B338DF" w:rsidRDefault="00B22557" w:rsidP="00B22557">
      <w:pPr>
        <w:spacing w:after="0" w:line="240" w:lineRule="auto"/>
        <w:ind w:left="5760" w:firstLine="720"/>
        <w:rPr>
          <w:rFonts w:ascii="Times New Roman" w:hAnsi="Times New Roman" w:cs="Times New Roman"/>
          <w:i/>
          <w:sz w:val="24"/>
          <w:szCs w:val="24"/>
        </w:rPr>
      </w:pPr>
      <w:r w:rsidRPr="00B338DF">
        <w:rPr>
          <w:rFonts w:ascii="Times New Roman" w:hAnsi="Times New Roman" w:cs="Times New Roman"/>
          <w:i/>
          <w:sz w:val="24"/>
          <w:szCs w:val="24"/>
        </w:rPr>
        <w:t>2019. gada 6.novembra lēmumu,</w:t>
      </w:r>
    </w:p>
    <w:p w14:paraId="69585DD8" w14:textId="77777777" w:rsidR="00B22557" w:rsidRPr="00B338DF" w:rsidRDefault="00B22557" w:rsidP="00B22557">
      <w:pPr>
        <w:spacing w:after="0" w:line="240" w:lineRule="auto"/>
        <w:ind w:left="5760" w:firstLine="720"/>
        <w:rPr>
          <w:rFonts w:ascii="Times New Roman" w:hAnsi="Times New Roman" w:cs="Times New Roman"/>
          <w:i/>
          <w:sz w:val="24"/>
          <w:szCs w:val="24"/>
        </w:rPr>
      </w:pPr>
      <w:r w:rsidRPr="00B338DF">
        <w:rPr>
          <w:rFonts w:ascii="Times New Roman" w:hAnsi="Times New Roman" w:cs="Times New Roman"/>
          <w:i/>
          <w:sz w:val="24"/>
          <w:szCs w:val="24"/>
        </w:rPr>
        <w:t>protokola Nr. SP – 2019/11</w:t>
      </w:r>
    </w:p>
    <w:p w14:paraId="7E15050D" w14:textId="77777777" w:rsidR="00B22557" w:rsidRPr="00B22557" w:rsidRDefault="00B22557" w:rsidP="00B2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6FBEE9" w14:textId="77777777" w:rsidR="00B22557" w:rsidRPr="00B22557" w:rsidRDefault="00B22557" w:rsidP="00B2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B956F" w14:textId="10DD1FEC" w:rsidR="00000000" w:rsidRPr="00B338DF" w:rsidRDefault="00647B81" w:rsidP="00B22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LĀB SK urologa specialitātē</w:t>
      </w:r>
      <w:r w:rsidR="00463568" w:rsidRPr="00B338DF">
        <w:rPr>
          <w:rFonts w:ascii="Times New Roman" w:hAnsi="Times New Roman" w:cs="Times New Roman"/>
          <w:b/>
          <w:sz w:val="28"/>
          <w:szCs w:val="28"/>
        </w:rPr>
        <w:t xml:space="preserve"> sertifikācijas programma.</w:t>
      </w:r>
    </w:p>
    <w:p w14:paraId="22A0A449" w14:textId="77777777" w:rsidR="00463568" w:rsidRPr="00B22557" w:rsidRDefault="00463568" w:rsidP="00B2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B39A6" w14:textId="77777777" w:rsidR="00463568" w:rsidRPr="00B22557" w:rsidRDefault="00463568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embrioloģija,anatomija</w:t>
      </w:r>
    </w:p>
    <w:p w14:paraId="1A6F4077" w14:textId="77777777" w:rsidR="00463568" w:rsidRPr="00B22557" w:rsidRDefault="00463568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saslimšanu semiotika</w:t>
      </w:r>
    </w:p>
    <w:p w14:paraId="3908E0AF" w14:textId="77777777" w:rsidR="00463568" w:rsidRPr="00B22557" w:rsidRDefault="00463568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objektīvā izmeklēšana</w:t>
      </w:r>
    </w:p>
    <w:p w14:paraId="24A0700B" w14:textId="77777777" w:rsidR="00463568" w:rsidRPr="00B22557" w:rsidRDefault="00463568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laboratoriskā izmeklēšana</w:t>
      </w:r>
    </w:p>
    <w:p w14:paraId="39F72100" w14:textId="77777777" w:rsidR="00463568" w:rsidRPr="00B22557" w:rsidRDefault="00463568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radioloģiskā izmeklēšana : USS,TRUSS,MRI,</w:t>
      </w:r>
      <w:r w:rsidR="00C85854" w:rsidRPr="00B22557">
        <w:rPr>
          <w:rFonts w:ascii="Times New Roman" w:hAnsi="Times New Roman" w:cs="Times New Roman"/>
          <w:sz w:val="24"/>
          <w:szCs w:val="24"/>
        </w:rPr>
        <w:t>CT,Rtg,invazīvāradioloģiskā izmeklēšana, radioizotopiskās izmeklēšanas metodes</w:t>
      </w:r>
    </w:p>
    <w:p w14:paraId="58B9D005" w14:textId="77777777" w:rsidR="00C85854" w:rsidRPr="00B22557" w:rsidRDefault="00C85854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Retrogrāda urīnceļu izmeklēšana un operācijas</w:t>
      </w:r>
    </w:p>
    <w:p w14:paraId="6B6E338B" w14:textId="77777777" w:rsidR="00C85854" w:rsidRPr="00B22557" w:rsidRDefault="00C85854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Perkutānaendouroloģija: indikācijas,metodes</w:t>
      </w:r>
    </w:p>
    <w:p w14:paraId="7DBC52A1" w14:textId="77777777" w:rsidR="00C85854" w:rsidRPr="00B22557" w:rsidRDefault="00C85854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Laparoskopiska ķirurģija uroloģijā: indikācijas,</w:t>
      </w:r>
      <w:r w:rsidR="00186B6A" w:rsidRPr="00B22557">
        <w:rPr>
          <w:rFonts w:ascii="Times New Roman" w:hAnsi="Times New Roman" w:cs="Times New Roman"/>
          <w:sz w:val="24"/>
          <w:szCs w:val="24"/>
        </w:rPr>
        <w:t>komplikācijas ,</w:t>
      </w:r>
      <w:r w:rsidRPr="00B22557">
        <w:rPr>
          <w:rFonts w:ascii="Times New Roman" w:hAnsi="Times New Roman" w:cs="Times New Roman"/>
          <w:sz w:val="24"/>
          <w:szCs w:val="24"/>
        </w:rPr>
        <w:t>meto</w:t>
      </w:r>
      <w:r w:rsidR="00186B6A" w:rsidRPr="00B22557">
        <w:rPr>
          <w:rFonts w:ascii="Times New Roman" w:hAnsi="Times New Roman" w:cs="Times New Roman"/>
          <w:sz w:val="24"/>
          <w:szCs w:val="24"/>
        </w:rPr>
        <w:t>žu salīdzinājums</w:t>
      </w:r>
    </w:p>
    <w:p w14:paraId="3CBAE37F" w14:textId="77777777" w:rsidR="00463568" w:rsidRPr="00B22557" w:rsidRDefault="00186B6A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Obstruktīvauropātija : etioloģija,patoģenēze,izmeklēšana , ārstēšana un prognoze</w:t>
      </w:r>
    </w:p>
    <w:p w14:paraId="68B66676" w14:textId="77777777" w:rsidR="00186B6A" w:rsidRPr="00B22557" w:rsidRDefault="00186B6A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 xml:space="preserve">Iedzimtas nieru un urīnizvadceļu anomālijas: Vezikoureterālsreflukss , </w:t>
      </w:r>
      <w:r w:rsidR="002D1AC8" w:rsidRPr="00B22557">
        <w:rPr>
          <w:rFonts w:ascii="Times New Roman" w:hAnsi="Times New Roman" w:cs="Times New Roman"/>
          <w:sz w:val="24"/>
          <w:szCs w:val="24"/>
        </w:rPr>
        <w:t>pieloureterālā</w:t>
      </w:r>
      <w:r w:rsidRPr="00B22557">
        <w:rPr>
          <w:rFonts w:ascii="Times New Roman" w:hAnsi="Times New Roman" w:cs="Times New Roman"/>
          <w:sz w:val="24"/>
          <w:szCs w:val="24"/>
        </w:rPr>
        <w:t xml:space="preserve"> segmenta patoloģija,nieru iedzimtas patoloģijas,</w:t>
      </w:r>
      <w:r w:rsidR="002D1AC8" w:rsidRPr="00B22557">
        <w:rPr>
          <w:rFonts w:ascii="Times New Roman" w:hAnsi="Times New Roman" w:cs="Times New Roman"/>
          <w:sz w:val="24"/>
          <w:szCs w:val="24"/>
        </w:rPr>
        <w:t>hipospādija,epispādija,fimoze,</w:t>
      </w:r>
      <w:r w:rsidR="00CE5A4D" w:rsidRPr="00B22557">
        <w:rPr>
          <w:rFonts w:ascii="Times New Roman" w:hAnsi="Times New Roman" w:cs="Times New Roman"/>
          <w:sz w:val="24"/>
          <w:szCs w:val="24"/>
        </w:rPr>
        <w:t xml:space="preserve">parafimoze,sēklsaites elementu slimības, </w:t>
      </w:r>
      <w:r w:rsidR="002D1AC8" w:rsidRPr="00B22557">
        <w:rPr>
          <w:rFonts w:ascii="Times New Roman" w:hAnsi="Times New Roman" w:cs="Times New Roman"/>
          <w:sz w:val="24"/>
          <w:szCs w:val="24"/>
        </w:rPr>
        <w:t>urīnpūšļa ekstrofija,nenoslīdējis sēklinieks</w:t>
      </w:r>
    </w:p>
    <w:p w14:paraId="3885A937" w14:textId="77777777" w:rsidR="002D1AC8" w:rsidRPr="00B22557" w:rsidRDefault="002D1AC8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komplicētas un nekomplicētas infekcijas slimības: Pielonefrīt,cistīts,prostatīts,orhoepididimīts,balanopostīts,urosepse.</w:t>
      </w:r>
    </w:p>
    <w:p w14:paraId="7AB96F7B" w14:textId="77777777" w:rsidR="002D1AC8" w:rsidRPr="00B22557" w:rsidRDefault="002D1AC8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Specifiskās uroģenitālās sistēmas infekciju slimības, seksuāli transmisīvās slimības</w:t>
      </w:r>
    </w:p>
    <w:p w14:paraId="36F6ACFB" w14:textId="77777777" w:rsidR="00463568" w:rsidRPr="00B22557" w:rsidRDefault="002D1AC8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Nierakmeņu slimība: etioloģija,patoģenēze,izmeklēšana un ārstešanas metodes.Ārstēšanas metožu salīdzināšana</w:t>
      </w:r>
    </w:p>
    <w:p w14:paraId="3056F738" w14:textId="77777777" w:rsidR="002D1AC8" w:rsidRPr="00B22557" w:rsidRDefault="002D1AC8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slēgtas un vaļējas traumas: nieru,</w:t>
      </w:r>
      <w:r w:rsidR="00A26D9A" w:rsidRPr="00B22557">
        <w:rPr>
          <w:rFonts w:ascii="Times New Roman" w:hAnsi="Times New Roman" w:cs="Times New Roman"/>
          <w:sz w:val="24"/>
          <w:szCs w:val="24"/>
        </w:rPr>
        <w:t xml:space="preserve"> </w:t>
      </w:r>
      <w:r w:rsidRPr="00B22557">
        <w:rPr>
          <w:rFonts w:ascii="Times New Roman" w:hAnsi="Times New Roman" w:cs="Times New Roman"/>
          <w:sz w:val="24"/>
          <w:szCs w:val="24"/>
        </w:rPr>
        <w:t>ur</w:t>
      </w:r>
      <w:r w:rsidR="00A26D9A" w:rsidRPr="00B22557">
        <w:rPr>
          <w:rFonts w:ascii="Times New Roman" w:hAnsi="Times New Roman" w:cs="Times New Roman"/>
          <w:sz w:val="24"/>
          <w:szCs w:val="24"/>
        </w:rPr>
        <w:t>ē</w:t>
      </w:r>
      <w:r w:rsidRPr="00B22557">
        <w:rPr>
          <w:rFonts w:ascii="Times New Roman" w:hAnsi="Times New Roman" w:cs="Times New Roman"/>
          <w:sz w:val="24"/>
          <w:szCs w:val="24"/>
        </w:rPr>
        <w:t>teru,</w:t>
      </w:r>
      <w:r w:rsidR="00A26D9A" w:rsidRPr="00B22557">
        <w:rPr>
          <w:rFonts w:ascii="Times New Roman" w:hAnsi="Times New Roman" w:cs="Times New Roman"/>
          <w:sz w:val="24"/>
          <w:szCs w:val="24"/>
        </w:rPr>
        <w:t xml:space="preserve"> </w:t>
      </w:r>
      <w:r w:rsidRPr="00B22557">
        <w:rPr>
          <w:rFonts w:ascii="Times New Roman" w:hAnsi="Times New Roman" w:cs="Times New Roman"/>
          <w:sz w:val="24"/>
          <w:szCs w:val="24"/>
        </w:rPr>
        <w:t>urīnpūšļa,</w:t>
      </w:r>
      <w:r w:rsidR="00A26D9A" w:rsidRPr="00B22557">
        <w:rPr>
          <w:rFonts w:ascii="Times New Roman" w:hAnsi="Times New Roman" w:cs="Times New Roman"/>
          <w:sz w:val="24"/>
          <w:szCs w:val="24"/>
        </w:rPr>
        <w:t xml:space="preserve"> </w:t>
      </w:r>
      <w:r w:rsidRPr="00B22557">
        <w:rPr>
          <w:rFonts w:ascii="Times New Roman" w:hAnsi="Times New Roman" w:cs="Times New Roman"/>
          <w:sz w:val="24"/>
          <w:szCs w:val="24"/>
        </w:rPr>
        <w:t>prostatas,</w:t>
      </w:r>
      <w:r w:rsidR="00A26D9A" w:rsidRPr="00B22557">
        <w:rPr>
          <w:rFonts w:ascii="Times New Roman" w:hAnsi="Times New Roman" w:cs="Times New Roman"/>
          <w:sz w:val="24"/>
          <w:szCs w:val="24"/>
        </w:rPr>
        <w:t xml:space="preserve"> </w:t>
      </w:r>
      <w:r w:rsidRPr="00B22557">
        <w:rPr>
          <w:rFonts w:ascii="Times New Roman" w:hAnsi="Times New Roman" w:cs="Times New Roman"/>
          <w:sz w:val="24"/>
          <w:szCs w:val="24"/>
        </w:rPr>
        <w:t>sēklinieku,</w:t>
      </w:r>
      <w:r w:rsidR="00A26D9A" w:rsidRPr="00B22557">
        <w:rPr>
          <w:rFonts w:ascii="Times New Roman" w:hAnsi="Times New Roman" w:cs="Times New Roman"/>
          <w:sz w:val="24"/>
          <w:szCs w:val="24"/>
        </w:rPr>
        <w:t xml:space="preserve"> </w:t>
      </w:r>
      <w:r w:rsidRPr="00B22557">
        <w:rPr>
          <w:rFonts w:ascii="Times New Roman" w:hAnsi="Times New Roman" w:cs="Times New Roman"/>
          <w:sz w:val="24"/>
          <w:szCs w:val="24"/>
        </w:rPr>
        <w:t>ur</w:t>
      </w:r>
      <w:r w:rsidR="00F5758F" w:rsidRPr="00B22557">
        <w:rPr>
          <w:rFonts w:ascii="Times New Roman" w:hAnsi="Times New Roman" w:cs="Times New Roman"/>
          <w:sz w:val="24"/>
          <w:szCs w:val="24"/>
        </w:rPr>
        <w:t>etras</w:t>
      </w:r>
    </w:p>
    <w:p w14:paraId="1356F79D" w14:textId="77777777" w:rsidR="00C751DB" w:rsidRPr="00B22557" w:rsidRDefault="00C751DB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audzēju klassifikācija</w:t>
      </w:r>
    </w:p>
    <w:p w14:paraId="0A65F477" w14:textId="77777777" w:rsidR="00CE5A4D" w:rsidRPr="00B22557" w:rsidRDefault="00CE5A4D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audzēju imunoloģija un imunoterapija</w:t>
      </w:r>
    </w:p>
    <w:p w14:paraId="04603614" w14:textId="77777777" w:rsidR="00C751DB" w:rsidRPr="00B22557" w:rsidRDefault="00C751DB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audzēju medikamentozo un ķirurģisko ārstēšanas metožu raksturojums</w:t>
      </w:r>
    </w:p>
    <w:p w14:paraId="7A073D42" w14:textId="77777777" w:rsidR="00463568" w:rsidRPr="00B22557" w:rsidRDefault="00CE5A4D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Uroteliāli audzēji :nieru bļodiņas,ureteru,urīnpūšļa</w:t>
      </w:r>
    </w:p>
    <w:p w14:paraId="02C5FC53" w14:textId="77777777" w:rsidR="00463568" w:rsidRPr="00B22557" w:rsidRDefault="00CE5A4D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Nieru parenhīmas labdabīgi un ļaundabīgi audzēji</w:t>
      </w:r>
    </w:p>
    <w:p w14:paraId="006DACA3" w14:textId="77777777" w:rsidR="00CE5A4D" w:rsidRPr="00B22557" w:rsidRDefault="00CE5A4D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Priekšdziedzera</w:t>
      </w:r>
      <w:r w:rsidR="00C751DB" w:rsidRPr="00B22557">
        <w:rPr>
          <w:rFonts w:ascii="Times New Roman" w:hAnsi="Times New Roman" w:cs="Times New Roman"/>
          <w:sz w:val="24"/>
          <w:szCs w:val="24"/>
        </w:rPr>
        <w:t xml:space="preserve"> </w:t>
      </w:r>
      <w:r w:rsidR="00E2501B" w:rsidRPr="00B22557">
        <w:rPr>
          <w:rFonts w:ascii="Times New Roman" w:hAnsi="Times New Roman" w:cs="Times New Roman"/>
          <w:sz w:val="24"/>
          <w:szCs w:val="24"/>
        </w:rPr>
        <w:t>neoplastiskas saslimšanas</w:t>
      </w:r>
    </w:p>
    <w:p w14:paraId="0A848A57" w14:textId="77777777" w:rsidR="00E2501B" w:rsidRPr="00B22557" w:rsidRDefault="00E2501B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Dzimumorgānu audzēji</w:t>
      </w:r>
    </w:p>
    <w:p w14:paraId="19BBDAA8" w14:textId="77777777" w:rsidR="00E2501B" w:rsidRPr="00B22557" w:rsidRDefault="00E2501B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Urīnpūšļa substitūc</w:t>
      </w:r>
      <w:r w:rsidR="00F5758F" w:rsidRPr="00B22557">
        <w:rPr>
          <w:rFonts w:ascii="Times New Roman" w:hAnsi="Times New Roman" w:cs="Times New Roman"/>
          <w:sz w:val="24"/>
          <w:szCs w:val="24"/>
        </w:rPr>
        <w:t>i</w:t>
      </w:r>
      <w:r w:rsidRPr="00B22557">
        <w:rPr>
          <w:rFonts w:ascii="Times New Roman" w:hAnsi="Times New Roman" w:cs="Times New Roman"/>
          <w:sz w:val="24"/>
          <w:szCs w:val="24"/>
        </w:rPr>
        <w:t>ja un derivācijas metodes</w:t>
      </w:r>
    </w:p>
    <w:p w14:paraId="56C02871" w14:textId="77777777" w:rsidR="00E2501B" w:rsidRPr="00B22557" w:rsidRDefault="00E2501B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audzēju ķimioterapija</w:t>
      </w:r>
    </w:p>
    <w:p w14:paraId="24DC590A" w14:textId="77777777" w:rsidR="00E2501B" w:rsidRPr="00B22557" w:rsidRDefault="00E2501B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Uroģenitālās sistēmas audzēju staru terapija</w:t>
      </w:r>
    </w:p>
    <w:p w14:paraId="3450A675" w14:textId="77777777" w:rsidR="00E2501B" w:rsidRPr="00B22557" w:rsidRDefault="00E2501B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Neirogēni urīnpūšļa darbības traucējumi, urodinamiska izmeklēšana</w:t>
      </w:r>
    </w:p>
    <w:p w14:paraId="150E9778" w14:textId="77777777" w:rsidR="00E2501B" w:rsidRPr="00B22557" w:rsidRDefault="00E2501B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Urīna nesaturēšana: veidi, etioloģija, patoģenēze, izmeklēšana, ārstēšana</w:t>
      </w:r>
    </w:p>
    <w:p w14:paraId="6BD59C93" w14:textId="77777777" w:rsidR="00E2501B" w:rsidRPr="00B22557" w:rsidRDefault="00E2501B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Virsnieru simības</w:t>
      </w:r>
    </w:p>
    <w:p w14:paraId="7CE4A644" w14:textId="77777777" w:rsidR="00E2501B" w:rsidRPr="00B22557" w:rsidRDefault="00E2501B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Akūta nieru mazspēja</w:t>
      </w:r>
      <w:r w:rsidR="005D7B7D" w:rsidRPr="00B22557">
        <w:rPr>
          <w:rFonts w:ascii="Times New Roman" w:hAnsi="Times New Roman" w:cs="Times New Roman"/>
          <w:sz w:val="24"/>
          <w:szCs w:val="24"/>
        </w:rPr>
        <w:t>: etioloģija,patoģenēze,diagnostika,ārstēšana</w:t>
      </w:r>
    </w:p>
    <w:p w14:paraId="6ACB6A13" w14:textId="77777777" w:rsidR="005D7B7D" w:rsidRPr="00B22557" w:rsidRDefault="005D7B7D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Hroniska nieru mazspēja :etioloģija,patoģenēze,diagnostika,ārstēšana,dialīze,transplantācija</w:t>
      </w:r>
    </w:p>
    <w:p w14:paraId="18B13FFC" w14:textId="77777777" w:rsidR="00E2501B" w:rsidRPr="00B22557" w:rsidRDefault="005D7B7D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Dzimumorgānu ādas slimības</w:t>
      </w:r>
    </w:p>
    <w:p w14:paraId="62F05B5F" w14:textId="77777777" w:rsidR="005D7B7D" w:rsidRPr="00B22557" w:rsidRDefault="005D7B7D" w:rsidP="00B2255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557">
        <w:rPr>
          <w:rFonts w:ascii="Times New Roman" w:hAnsi="Times New Roman" w:cs="Times New Roman"/>
          <w:sz w:val="24"/>
          <w:szCs w:val="24"/>
        </w:rPr>
        <w:t>Vīriešu neauglība</w:t>
      </w:r>
      <w:r w:rsidR="00BF52E0" w:rsidRPr="00B22557">
        <w:rPr>
          <w:rFonts w:ascii="Times New Roman" w:hAnsi="Times New Roman" w:cs="Times New Roman"/>
          <w:sz w:val="24"/>
          <w:szCs w:val="24"/>
        </w:rPr>
        <w:t>, erektīlā disfunkcija, Peironi</w:t>
      </w:r>
      <w:r w:rsidR="00A26D9A" w:rsidRPr="00B22557">
        <w:rPr>
          <w:rFonts w:ascii="Times New Roman" w:hAnsi="Times New Roman" w:cs="Times New Roman"/>
          <w:sz w:val="24"/>
          <w:szCs w:val="24"/>
        </w:rPr>
        <w:t xml:space="preserve"> </w:t>
      </w:r>
      <w:r w:rsidR="00BF52E0" w:rsidRPr="00B22557">
        <w:rPr>
          <w:rFonts w:ascii="Times New Roman" w:hAnsi="Times New Roman" w:cs="Times New Roman"/>
          <w:sz w:val="24"/>
          <w:szCs w:val="24"/>
        </w:rPr>
        <w:t>slimība</w:t>
      </w:r>
      <w:r w:rsidR="00F5758F" w:rsidRPr="00B22557">
        <w:rPr>
          <w:rFonts w:ascii="Times New Roman" w:hAnsi="Times New Roman" w:cs="Times New Roman"/>
          <w:sz w:val="24"/>
          <w:szCs w:val="24"/>
        </w:rPr>
        <w:t>,</w:t>
      </w:r>
      <w:r w:rsidR="00A26D9A" w:rsidRPr="00B22557">
        <w:rPr>
          <w:rFonts w:ascii="Times New Roman" w:hAnsi="Times New Roman" w:cs="Times New Roman"/>
          <w:sz w:val="24"/>
          <w:szCs w:val="24"/>
        </w:rPr>
        <w:t xml:space="preserve"> </w:t>
      </w:r>
      <w:r w:rsidR="00F5758F" w:rsidRPr="00B22557">
        <w:rPr>
          <w:rFonts w:ascii="Times New Roman" w:hAnsi="Times New Roman" w:cs="Times New Roman"/>
          <w:sz w:val="24"/>
          <w:szCs w:val="24"/>
        </w:rPr>
        <w:t xml:space="preserve">priapisms- to </w:t>
      </w:r>
      <w:r w:rsidRPr="00B22557">
        <w:rPr>
          <w:rFonts w:ascii="Times New Roman" w:hAnsi="Times New Roman" w:cs="Times New Roman"/>
          <w:sz w:val="24"/>
          <w:szCs w:val="24"/>
        </w:rPr>
        <w:t xml:space="preserve"> etioloģija,</w:t>
      </w:r>
      <w:r w:rsidR="00A26D9A" w:rsidRPr="00B22557">
        <w:rPr>
          <w:rFonts w:ascii="Times New Roman" w:hAnsi="Times New Roman" w:cs="Times New Roman"/>
          <w:sz w:val="24"/>
          <w:szCs w:val="24"/>
        </w:rPr>
        <w:t xml:space="preserve"> </w:t>
      </w:r>
      <w:r w:rsidRPr="00B22557">
        <w:rPr>
          <w:rFonts w:ascii="Times New Roman" w:hAnsi="Times New Roman" w:cs="Times New Roman"/>
          <w:sz w:val="24"/>
          <w:szCs w:val="24"/>
        </w:rPr>
        <w:t>patoģenēze,</w:t>
      </w:r>
      <w:r w:rsidR="00A26D9A" w:rsidRPr="00B22557">
        <w:rPr>
          <w:rFonts w:ascii="Times New Roman" w:hAnsi="Times New Roman" w:cs="Times New Roman"/>
          <w:sz w:val="24"/>
          <w:szCs w:val="24"/>
        </w:rPr>
        <w:t xml:space="preserve"> </w:t>
      </w:r>
      <w:r w:rsidRPr="00B22557">
        <w:rPr>
          <w:rFonts w:ascii="Times New Roman" w:hAnsi="Times New Roman" w:cs="Times New Roman"/>
          <w:sz w:val="24"/>
          <w:szCs w:val="24"/>
        </w:rPr>
        <w:t>diagnostika,</w:t>
      </w:r>
      <w:r w:rsidR="00A26D9A" w:rsidRPr="00B22557">
        <w:rPr>
          <w:rFonts w:ascii="Times New Roman" w:hAnsi="Times New Roman" w:cs="Times New Roman"/>
          <w:sz w:val="24"/>
          <w:szCs w:val="24"/>
        </w:rPr>
        <w:t xml:space="preserve"> </w:t>
      </w:r>
      <w:r w:rsidRPr="00B22557">
        <w:rPr>
          <w:rFonts w:ascii="Times New Roman" w:hAnsi="Times New Roman" w:cs="Times New Roman"/>
          <w:sz w:val="24"/>
          <w:szCs w:val="24"/>
        </w:rPr>
        <w:t>ārstēšana</w:t>
      </w:r>
    </w:p>
    <w:p w14:paraId="39EE2786" w14:textId="77777777" w:rsidR="005D7B7D" w:rsidRPr="00B22557" w:rsidRDefault="005D7B7D" w:rsidP="00B22557">
      <w:pPr>
        <w:pStyle w:val="Sarakstarindkopa"/>
        <w:spacing w:after="0" w:line="240" w:lineRule="auto"/>
        <w:rPr>
          <w:rFonts w:ascii="Times New Roman" w:hAnsi="Times New Roman" w:cs="Times New Roman"/>
        </w:rPr>
      </w:pPr>
    </w:p>
    <w:sectPr w:rsidR="005D7B7D" w:rsidRPr="00B22557" w:rsidSect="00331D17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2133"/>
    <w:multiLevelType w:val="hybridMultilevel"/>
    <w:tmpl w:val="1D78ED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78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ABA"/>
    <w:rsid w:val="00036744"/>
    <w:rsid w:val="00186B6A"/>
    <w:rsid w:val="002D1AC8"/>
    <w:rsid w:val="00331D17"/>
    <w:rsid w:val="00386702"/>
    <w:rsid w:val="00407005"/>
    <w:rsid w:val="00463568"/>
    <w:rsid w:val="005D7B7D"/>
    <w:rsid w:val="00644C56"/>
    <w:rsid w:val="00647B81"/>
    <w:rsid w:val="00A26D9A"/>
    <w:rsid w:val="00B22557"/>
    <w:rsid w:val="00B338DF"/>
    <w:rsid w:val="00BF52E0"/>
    <w:rsid w:val="00C751DB"/>
    <w:rsid w:val="00C85854"/>
    <w:rsid w:val="00CE5A4D"/>
    <w:rsid w:val="00E2501B"/>
    <w:rsid w:val="00F5758F"/>
    <w:rsid w:val="00FD1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5C3D"/>
  <w15:docId w15:val="{3E03F836-0598-411D-A576-81D1B1AE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674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Baumanis</dc:creator>
  <cp:keywords/>
  <dc:description/>
  <cp:lastModifiedBy>Elita Vīksne</cp:lastModifiedBy>
  <cp:revision>10</cp:revision>
  <dcterms:created xsi:type="dcterms:W3CDTF">2018-09-30T12:57:00Z</dcterms:created>
  <dcterms:modified xsi:type="dcterms:W3CDTF">2024-03-01T11:22:00Z</dcterms:modified>
</cp:coreProperties>
</file>